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D9EE" w14:textId="2878D5D3"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PURPOSE</w:t>
      </w:r>
    </w:p>
    <w:p w14:paraId="29D75EBE" w14:textId="2A079EC6"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Consultant shall review the County’s current fee structure, cost recovery practices, and revenue-generating opportunities available under Florida law, and shall identify, evaluate, and prioritize lawful fees, charges, assessments, and other revenue mechanisms that may improve fiscal sustainability while maintaining transparency, equity, and compliance.</w:t>
      </w:r>
    </w:p>
    <w:p w14:paraId="1695AB39" w14:textId="28C355AB" w:rsidR="00D8032F"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 Review all current county fees, charges, and related revenue mechanisms, then identify legally supportable opportunities to increase cost recovery or generate new revenue through fees, service charges, assessments, surtaxes, and other county-authorized revenue tools.</w:t>
      </w:r>
    </w:p>
    <w:p w14:paraId="5B9D357B" w14:textId="6E97A417" w:rsidR="00F50BCE" w:rsidRPr="00F50BCE" w:rsidRDefault="00F50BCE" w:rsidP="00F50BCE">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F50BCE">
        <w:rPr>
          <w:rFonts w:ascii="Times New Roman" w:hAnsi="Times New Roman" w:cs="Times New Roman"/>
        </w:rPr>
        <w:t>The Consultant’s recommendations shall identify applicable legal authorities and limitations and shall be subject to review by the County Attorney’s Office before implementation</w:t>
      </w:r>
      <w:r w:rsidRPr="00F50BCE">
        <w:rPr>
          <w:rFonts w:ascii="Times New Roman" w:hAnsi="Times New Roman" w:cs="Times New Roman"/>
        </w:rPr>
        <w:t>.</w:t>
      </w:r>
    </w:p>
    <w:p w14:paraId="06D67071" w14:textId="78A5460F"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PROJECT OBJECTIVES</w:t>
      </w:r>
    </w:p>
    <w:p w14:paraId="6BA46482"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Inventory all existing county fee schedules, user charges, permits, licenses, assessments, and non-ad valorem charges across departments.</w:t>
      </w:r>
    </w:p>
    <w:p w14:paraId="1CB0B7AE"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Evaluate whether current fees are aligned with actual cost, service level, market benchmarks, and legal authority.</w:t>
      </w:r>
    </w:p>
    <w:p w14:paraId="428349C7" w14:textId="6DEBA6D1"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Identify additional revenue generators the county may lawfully adopt, expand, or refine, including service charges, special assessments, local option taxes, and administrative fees where authorized.</w:t>
      </w:r>
    </w:p>
    <w:p w14:paraId="41B240A4"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Recommend a fee policy framework that supports full cost recovery where appropriate, while distinguishing policy-driven subsidies from true user-pays services.</w:t>
      </w:r>
    </w:p>
    <w:p w14:paraId="6E66BC40" w14:textId="291D2CA1"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CONSULTANT TASKS</w:t>
      </w:r>
    </w:p>
    <w:p w14:paraId="7650D9EF"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Review ordinances, resolutions, administrative fee schedules, budget documents, departmental SOPs, and prior cost-of-service studies.</w:t>
      </w:r>
    </w:p>
    <w:p w14:paraId="16C59B3D"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Interview county leadership and key departments, including finance, budget, procurement, public works, planning and zoning, building, code enforcement, utilities, parks, solid waste, emergency services, and constitutional officers as applicable.</w:t>
      </w:r>
    </w:p>
    <w:p w14:paraId="35E13EEA"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Map each fee to its legal basis, billing method, revenue fund, and cost center.</w:t>
      </w:r>
    </w:p>
    <w:p w14:paraId="1D3762FD"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Perform cost-of-service analysis for major fee categories to determine whether fees recover direct costs, indirect costs, overhead, and capital-related costs where allowed.</w:t>
      </w:r>
    </w:p>
    <w:p w14:paraId="70DD3E6D" w14:textId="3B3D9280"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Benchmark selected fees against Florida counties of similar size, service mix, and regional characteristics.</w:t>
      </w:r>
    </w:p>
    <w:p w14:paraId="72B0D67A"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Identify gaps where the county is undercharging, not charging for discretionary services, or not capturing recoverable administrative costs.</w:t>
      </w:r>
    </w:p>
    <w:p w14:paraId="05210255"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Prepare a legal-and-financial screening of new revenue ideas to separate:</w:t>
      </w:r>
    </w:p>
    <w:p w14:paraId="5E631BAB" w14:textId="4818F77A" w:rsidR="00D8032F" w:rsidRPr="00E72AEB" w:rsidRDefault="00E72AEB" w:rsidP="001751C7">
      <w:pPr>
        <w:pStyle w:val="ListParagraph"/>
        <w:numPr>
          <w:ilvl w:val="2"/>
          <w:numId w:val="8"/>
        </w:numPr>
        <w:tabs>
          <w:tab w:val="left" w:pos="0"/>
        </w:tabs>
        <w:spacing w:after="120" w:line="240" w:lineRule="auto"/>
        <w:ind w:left="1260" w:hanging="720"/>
        <w:contextualSpacing w:val="0"/>
        <w:jc w:val="both"/>
        <w:rPr>
          <w:rFonts w:ascii="Times New Roman" w:hAnsi="Times New Roman" w:cs="Times New Roman"/>
        </w:rPr>
      </w:pPr>
      <w:r>
        <w:rPr>
          <w:rFonts w:ascii="Times New Roman" w:hAnsi="Times New Roman" w:cs="Times New Roman"/>
        </w:rPr>
        <w:t>C</w:t>
      </w:r>
      <w:r w:rsidR="00D8032F" w:rsidRPr="00E72AEB">
        <w:rPr>
          <w:rFonts w:ascii="Times New Roman" w:hAnsi="Times New Roman" w:cs="Times New Roman"/>
        </w:rPr>
        <w:t>learly authorized county revenue tools,</w:t>
      </w:r>
    </w:p>
    <w:p w14:paraId="1B295015" w14:textId="6F7EB4C6" w:rsidR="00D8032F" w:rsidRPr="00E72AEB" w:rsidRDefault="00E72AEB" w:rsidP="001751C7">
      <w:pPr>
        <w:pStyle w:val="ListParagraph"/>
        <w:numPr>
          <w:ilvl w:val="2"/>
          <w:numId w:val="8"/>
        </w:numPr>
        <w:tabs>
          <w:tab w:val="left" w:pos="0"/>
        </w:tabs>
        <w:spacing w:after="120" w:line="240" w:lineRule="auto"/>
        <w:ind w:left="1260" w:hanging="720"/>
        <w:contextualSpacing w:val="0"/>
        <w:jc w:val="both"/>
        <w:rPr>
          <w:rFonts w:ascii="Times New Roman" w:hAnsi="Times New Roman" w:cs="Times New Roman"/>
        </w:rPr>
      </w:pPr>
      <w:r>
        <w:rPr>
          <w:rFonts w:ascii="Times New Roman" w:hAnsi="Times New Roman" w:cs="Times New Roman"/>
        </w:rPr>
        <w:t>R</w:t>
      </w:r>
      <w:r w:rsidR="00D8032F" w:rsidRPr="00E72AEB">
        <w:rPr>
          <w:rFonts w:ascii="Times New Roman" w:hAnsi="Times New Roman" w:cs="Times New Roman"/>
        </w:rPr>
        <w:t>evenue tools requiring ordinance or referendum action,</w:t>
      </w:r>
      <w:r>
        <w:rPr>
          <w:rFonts w:ascii="Times New Roman" w:hAnsi="Times New Roman" w:cs="Times New Roman"/>
        </w:rPr>
        <w:t xml:space="preserve"> and</w:t>
      </w:r>
    </w:p>
    <w:p w14:paraId="1AF1EAC1" w14:textId="4967102A" w:rsidR="00D8032F" w:rsidRPr="00E72AEB" w:rsidRDefault="00E72AEB" w:rsidP="001751C7">
      <w:pPr>
        <w:pStyle w:val="ListParagraph"/>
        <w:numPr>
          <w:ilvl w:val="2"/>
          <w:numId w:val="8"/>
        </w:numPr>
        <w:tabs>
          <w:tab w:val="left" w:pos="0"/>
        </w:tabs>
        <w:spacing w:after="120" w:line="240" w:lineRule="auto"/>
        <w:ind w:left="1260" w:hanging="720"/>
        <w:contextualSpacing w:val="0"/>
        <w:jc w:val="both"/>
        <w:rPr>
          <w:rFonts w:ascii="Times New Roman" w:hAnsi="Times New Roman" w:cs="Times New Roman"/>
        </w:rPr>
      </w:pPr>
      <w:r>
        <w:rPr>
          <w:rFonts w:ascii="Times New Roman" w:hAnsi="Times New Roman" w:cs="Times New Roman"/>
        </w:rPr>
        <w:t>T</w:t>
      </w:r>
      <w:r w:rsidR="00D8032F" w:rsidRPr="00E72AEB">
        <w:rPr>
          <w:rFonts w:ascii="Times New Roman" w:hAnsi="Times New Roman" w:cs="Times New Roman"/>
        </w:rPr>
        <w:t>ools that are preempted or legally constrained.</w:t>
      </w:r>
    </w:p>
    <w:p w14:paraId="4DC7BFA2" w14:textId="033238E5"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REVENUE OPPORTUNITIES</w:t>
      </w:r>
    </w:p>
    <w:p w14:paraId="030F9BAC" w14:textId="367CF4CE" w:rsidR="00D8032F" w:rsidRPr="00E72AEB" w:rsidRDefault="00D8032F" w:rsidP="001751C7">
      <w:pPr>
        <w:spacing w:after="120" w:line="240" w:lineRule="auto"/>
        <w:jc w:val="both"/>
        <w:rPr>
          <w:rFonts w:ascii="Times New Roman" w:hAnsi="Times New Roman" w:cs="Times New Roman"/>
        </w:rPr>
      </w:pPr>
      <w:r w:rsidRPr="00E72AEB">
        <w:rPr>
          <w:rFonts w:ascii="Times New Roman" w:hAnsi="Times New Roman" w:cs="Times New Roman"/>
        </w:rPr>
        <w:t>Consultant sh</w:t>
      </w:r>
      <w:r w:rsidR="00E72AEB">
        <w:rPr>
          <w:rFonts w:ascii="Times New Roman" w:hAnsi="Times New Roman" w:cs="Times New Roman"/>
        </w:rPr>
        <w:t>all</w:t>
      </w:r>
      <w:r w:rsidRPr="00E72AEB">
        <w:rPr>
          <w:rFonts w:ascii="Times New Roman" w:hAnsi="Times New Roman" w:cs="Times New Roman"/>
        </w:rPr>
        <w:t xml:space="preserve"> evaluate, at minimum, the following categories:</w:t>
      </w:r>
    </w:p>
    <w:p w14:paraId="08D3C598"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lastRenderedPageBreak/>
        <w:t>Charges for services: plan review, inspections, permits, records requests, recreation fees, solid waste, stormwater, ambulance, fleet, and internal service charges.</w:t>
      </w:r>
    </w:p>
    <w:p w14:paraId="3F4FFCDD"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Licenses and permits: business tax equivalents where applicable, right-of-way permits, development permits, land-use applications, and utility-related permits.</w:t>
      </w:r>
    </w:p>
    <w:p w14:paraId="7AA46DEF" w14:textId="63487E2F"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Non-ad valorem assessments: solid waste, stormwater, fire protection, special districts, and other service-linked assessments where authorized.</w:t>
      </w:r>
    </w:p>
    <w:p w14:paraId="5F01E236"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Administrative and recovery fees: late fees, NSF fees, convenience fees, copy/certification fees, lien search fees, code enforcement recovery, special event fees, after-hours service fees, and cost recovery for third-party processing where permitted.</w:t>
      </w:r>
    </w:p>
    <w:p w14:paraId="66502262" w14:textId="0998818B"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LEGAL REVIEW</w:t>
      </w:r>
    </w:p>
    <w:p w14:paraId="2B43F19B"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Identify the statutory authority, home-rule basis, or local ordinance basis for each existing and proposed fee.</w:t>
      </w:r>
    </w:p>
    <w:p w14:paraId="68987F47" w14:textId="6FE06662"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Flag fees requir</w:t>
      </w:r>
      <w:r w:rsidR="00E72AEB">
        <w:rPr>
          <w:rFonts w:ascii="Times New Roman" w:hAnsi="Times New Roman" w:cs="Times New Roman"/>
        </w:rPr>
        <w:t>ing</w:t>
      </w:r>
      <w:r w:rsidRPr="00E72AEB">
        <w:rPr>
          <w:rFonts w:ascii="Times New Roman" w:hAnsi="Times New Roman" w:cs="Times New Roman"/>
        </w:rPr>
        <w:t xml:space="preserve"> board approval, ordinance amendment, public hearing, or referendum.</w:t>
      </w:r>
    </w:p>
    <w:p w14:paraId="3D57BAEF"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Identify preemption risks, statutory caps, notice requirements, and use restrictions.</w:t>
      </w:r>
    </w:p>
    <w:p w14:paraId="69AB2B21"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Confirm which revenue tools are county-authorized versus those controlled by state law or constitutional officers.</w:t>
      </w:r>
    </w:p>
    <w:p w14:paraId="66A275B1"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Provide a legal risk rating for each recommendation: low, medium, or high.</w:t>
      </w:r>
    </w:p>
    <w:p w14:paraId="0189E5F0" w14:textId="50056EE3"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DELIVERABLES</w:t>
      </w:r>
    </w:p>
    <w:p w14:paraId="2246EB7A"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Existing fee inventory and revenue map by department.</w:t>
      </w:r>
    </w:p>
    <w:p w14:paraId="15C45F25"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Legal authority matrix for current and proposed fees.</w:t>
      </w:r>
    </w:p>
    <w:p w14:paraId="2982D9C9" w14:textId="550AF5B8"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 xml:space="preserve">Benchmarking report comparing county fees to </w:t>
      </w:r>
      <w:r w:rsidR="00FD478D" w:rsidRPr="00E72AEB">
        <w:rPr>
          <w:rFonts w:ascii="Times New Roman" w:hAnsi="Times New Roman" w:cs="Times New Roman"/>
        </w:rPr>
        <w:t>other</w:t>
      </w:r>
      <w:r w:rsidRPr="00E72AEB">
        <w:rPr>
          <w:rFonts w:ascii="Times New Roman" w:hAnsi="Times New Roman" w:cs="Times New Roman"/>
        </w:rPr>
        <w:t xml:space="preserve"> counties.</w:t>
      </w:r>
    </w:p>
    <w:p w14:paraId="1BE9ACDB"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Cost-of-service study for priority fee categories.</w:t>
      </w:r>
    </w:p>
    <w:p w14:paraId="6E990B8F"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Revenue opportunity register listing recommended new or revised fees, estimated revenue potential, implementation steps, and risks.</w:t>
      </w:r>
    </w:p>
    <w:p w14:paraId="005D65C6"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Draft fee policy and implementation roadmap.</w:t>
      </w:r>
    </w:p>
    <w:p w14:paraId="1A161FB2"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Presentation to county leadership and the board of county commissioners.</w:t>
      </w:r>
    </w:p>
    <w:p w14:paraId="5DCA9D12" w14:textId="586447D1" w:rsidR="00D8032F" w:rsidRPr="00E72AEB" w:rsidRDefault="00E72AEB" w:rsidP="00E72AEB">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E72AEB">
        <w:rPr>
          <w:rFonts w:ascii="Times New Roman" w:hAnsi="Times New Roman" w:cs="Times New Roman"/>
          <w:b/>
          <w:bCs/>
        </w:rPr>
        <w:t>ANALYSIS STANDARDS</w:t>
      </w:r>
    </w:p>
    <w:p w14:paraId="40F8A698"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Use recent actual cost data, not only budgeted figures.</w:t>
      </w:r>
    </w:p>
    <w:p w14:paraId="1E1BE638"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Separate direct costs, indirect costs, capital replacement, and administrative overhead.</w:t>
      </w:r>
    </w:p>
    <w:p w14:paraId="2F5BB362"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Distinguish mandatory fees from discretionary fees.</w:t>
      </w:r>
    </w:p>
    <w:p w14:paraId="6BFD838D" w14:textId="77777777" w:rsidR="00D8032F" w:rsidRPr="00E72AEB"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Evaluate affordability and policy impacts for essential public services.</w:t>
      </w:r>
    </w:p>
    <w:p w14:paraId="77ACA6F7" w14:textId="77777777" w:rsidR="00D8032F" w:rsidRDefault="00D8032F"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E72AEB">
        <w:rPr>
          <w:rFonts w:ascii="Times New Roman" w:hAnsi="Times New Roman" w:cs="Times New Roman"/>
        </w:rPr>
        <w:t>Estimate revenue impact under conservative, moderate, and aggressive adoption scenarios.</w:t>
      </w:r>
    </w:p>
    <w:p w14:paraId="7D51B32C" w14:textId="18D15EEA" w:rsidR="00F50BCE" w:rsidRPr="00F50BCE" w:rsidRDefault="00F50BCE" w:rsidP="001751C7">
      <w:pPr>
        <w:pStyle w:val="ListParagraph"/>
        <w:numPr>
          <w:ilvl w:val="1"/>
          <w:numId w:val="8"/>
        </w:numPr>
        <w:tabs>
          <w:tab w:val="left" w:pos="0"/>
        </w:tabs>
        <w:spacing w:after="120" w:line="240" w:lineRule="auto"/>
        <w:ind w:left="547" w:hanging="547"/>
        <w:contextualSpacing w:val="0"/>
        <w:jc w:val="both"/>
        <w:rPr>
          <w:rFonts w:ascii="Times New Roman" w:hAnsi="Times New Roman" w:cs="Times New Roman"/>
        </w:rPr>
      </w:pPr>
      <w:r w:rsidRPr="00F50BCE">
        <w:rPr>
          <w:rFonts w:ascii="Times New Roman" w:hAnsi="Times New Roman" w:cs="Times New Roman"/>
        </w:rPr>
        <w:t>Identify applicable legal restrictions on the collection, allocation, and expenditure of revenues generated by each recommended fee or revenue mechanism.</w:t>
      </w:r>
    </w:p>
    <w:p w14:paraId="539EB7DD" w14:textId="7B4F4E1D" w:rsidR="00357E86" w:rsidRPr="001731AC" w:rsidRDefault="001731AC" w:rsidP="001731AC">
      <w:pPr>
        <w:pStyle w:val="ListParagraph"/>
        <w:numPr>
          <w:ilvl w:val="0"/>
          <w:numId w:val="8"/>
        </w:numPr>
        <w:tabs>
          <w:tab w:val="left" w:pos="0"/>
        </w:tabs>
        <w:spacing w:after="40" w:line="240" w:lineRule="auto"/>
        <w:ind w:left="0" w:hanging="547"/>
        <w:contextualSpacing w:val="0"/>
        <w:jc w:val="both"/>
        <w:rPr>
          <w:rFonts w:ascii="Times New Roman" w:hAnsi="Times New Roman" w:cs="Times New Roman"/>
          <w:b/>
          <w:bCs/>
        </w:rPr>
      </w:pPr>
      <w:r w:rsidRPr="001731AC">
        <w:rPr>
          <w:rFonts w:ascii="Times New Roman" w:hAnsi="Times New Roman" w:cs="Times New Roman"/>
          <w:b/>
          <w:bCs/>
        </w:rPr>
        <w:t>COUNTY RESPONSIBILITIES</w:t>
      </w:r>
    </w:p>
    <w:p w14:paraId="10EAD6A8" w14:textId="34B6BA81" w:rsidR="001731AC" w:rsidRPr="001731AC" w:rsidRDefault="001731AC" w:rsidP="001731AC">
      <w:pPr>
        <w:pStyle w:val="ListParagraph"/>
        <w:numPr>
          <w:ilvl w:val="1"/>
          <w:numId w:val="8"/>
        </w:numPr>
        <w:tabs>
          <w:tab w:val="left" w:pos="0"/>
        </w:tabs>
        <w:spacing w:after="40" w:line="240" w:lineRule="auto"/>
        <w:ind w:left="540" w:hanging="540"/>
        <w:contextualSpacing w:val="0"/>
        <w:jc w:val="both"/>
        <w:rPr>
          <w:rFonts w:ascii="Times New Roman" w:hAnsi="Times New Roman" w:cs="Times New Roman"/>
        </w:rPr>
      </w:pPr>
      <w:r>
        <w:rPr>
          <w:rFonts w:ascii="Times New Roman" w:hAnsi="Times New Roman" w:cs="Times New Roman"/>
        </w:rPr>
        <w:t>The County reserves the right, in its sole discretion, to:</w:t>
      </w:r>
      <w:r w:rsidRPr="001731AC">
        <w:rPr>
          <w:rFonts w:ascii="Times New Roman" w:hAnsi="Times New Roman" w:cs="Times New Roman"/>
        </w:rPr>
        <w:t xml:space="preserve"> </w:t>
      </w:r>
    </w:p>
    <w:p w14:paraId="237ED719" w14:textId="77777777" w:rsidR="001731AC" w:rsidRPr="001731AC" w:rsidRDefault="001731AC" w:rsidP="001731AC">
      <w:pPr>
        <w:pStyle w:val="ListParagraph"/>
        <w:numPr>
          <w:ilvl w:val="2"/>
          <w:numId w:val="8"/>
        </w:numPr>
        <w:tabs>
          <w:tab w:val="left" w:pos="0"/>
        </w:tabs>
        <w:spacing w:after="40" w:line="240" w:lineRule="auto"/>
        <w:ind w:hanging="684"/>
        <w:contextualSpacing w:val="0"/>
        <w:jc w:val="both"/>
        <w:rPr>
          <w:rFonts w:ascii="Times New Roman" w:hAnsi="Times New Roman" w:cs="Times New Roman"/>
        </w:rPr>
      </w:pPr>
      <w:r w:rsidRPr="001731AC">
        <w:rPr>
          <w:rFonts w:ascii="Times New Roman" w:hAnsi="Times New Roman" w:cs="Times New Roman"/>
        </w:rPr>
        <w:t>Award contracts or individual projects to one or more vendors.</w:t>
      </w:r>
    </w:p>
    <w:p w14:paraId="540EA370" w14:textId="77777777" w:rsidR="001731AC" w:rsidRPr="001731AC" w:rsidRDefault="001731AC" w:rsidP="001731AC">
      <w:pPr>
        <w:pStyle w:val="ListParagraph"/>
        <w:numPr>
          <w:ilvl w:val="2"/>
          <w:numId w:val="8"/>
        </w:numPr>
        <w:tabs>
          <w:tab w:val="left" w:pos="0"/>
        </w:tabs>
        <w:spacing w:after="40" w:line="240" w:lineRule="auto"/>
        <w:ind w:hanging="684"/>
        <w:contextualSpacing w:val="0"/>
        <w:jc w:val="both"/>
        <w:rPr>
          <w:rFonts w:ascii="Times New Roman" w:hAnsi="Times New Roman" w:cs="Times New Roman"/>
        </w:rPr>
      </w:pPr>
      <w:r w:rsidRPr="001731AC">
        <w:rPr>
          <w:rFonts w:ascii="Times New Roman" w:hAnsi="Times New Roman" w:cs="Times New Roman"/>
        </w:rPr>
        <w:lastRenderedPageBreak/>
        <w:t>Reject any or all offers received.</w:t>
      </w:r>
    </w:p>
    <w:p w14:paraId="50A0D2DB" w14:textId="77777777" w:rsidR="001731AC" w:rsidRPr="001731AC" w:rsidRDefault="001731AC" w:rsidP="001731AC">
      <w:pPr>
        <w:pStyle w:val="ListParagraph"/>
        <w:numPr>
          <w:ilvl w:val="2"/>
          <w:numId w:val="8"/>
        </w:numPr>
        <w:tabs>
          <w:tab w:val="left" w:pos="0"/>
        </w:tabs>
        <w:spacing w:after="40" w:line="240" w:lineRule="auto"/>
        <w:ind w:hanging="684"/>
        <w:contextualSpacing w:val="0"/>
        <w:jc w:val="both"/>
        <w:rPr>
          <w:rFonts w:ascii="Times New Roman" w:hAnsi="Times New Roman" w:cs="Times New Roman"/>
        </w:rPr>
      </w:pPr>
      <w:r w:rsidRPr="001731AC">
        <w:rPr>
          <w:rFonts w:ascii="Times New Roman" w:hAnsi="Times New Roman" w:cs="Times New Roman"/>
        </w:rPr>
        <w:t>Make no award if doing so is determined to be in the best interest of the County.</w:t>
      </w:r>
    </w:p>
    <w:p w14:paraId="5CADDB03" w14:textId="6D5BD961" w:rsidR="001731AC" w:rsidRPr="001731AC" w:rsidRDefault="001731AC" w:rsidP="001731AC">
      <w:pPr>
        <w:pStyle w:val="ListParagraph"/>
        <w:numPr>
          <w:ilvl w:val="1"/>
          <w:numId w:val="8"/>
        </w:numPr>
        <w:tabs>
          <w:tab w:val="left" w:pos="0"/>
        </w:tabs>
        <w:spacing w:after="40" w:line="240" w:lineRule="auto"/>
        <w:ind w:left="540" w:hanging="540"/>
        <w:contextualSpacing w:val="0"/>
        <w:jc w:val="both"/>
        <w:rPr>
          <w:rFonts w:ascii="Times New Roman" w:hAnsi="Times New Roman" w:cs="Times New Roman"/>
        </w:rPr>
      </w:pPr>
      <w:r w:rsidRPr="001731AC">
        <w:rPr>
          <w:rFonts w:ascii="Times New Roman" w:hAnsi="Times New Roman" w:cs="Times New Roman"/>
        </w:rPr>
        <w:t>The County makes no guarantee that any dollar amount, minimum volume of work, or number of projects will be awarded or expended under any contract resulting from this solicitation.</w:t>
      </w:r>
    </w:p>
    <w:sectPr w:rsidR="001731AC" w:rsidRPr="001731AC" w:rsidSect="00D8032F">
      <w:headerReference w:type="default" r:id="rId7"/>
      <w:footerReference w:type="default" r:id="rId8"/>
      <w:pgSz w:w="12240" w:h="15840" w:code="1"/>
      <w:pgMar w:top="1267" w:right="1440" w:bottom="1267"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46C8" w14:textId="77777777" w:rsidR="00023291" w:rsidRDefault="00023291" w:rsidP="00D8032F">
      <w:pPr>
        <w:spacing w:after="0" w:line="240" w:lineRule="auto"/>
      </w:pPr>
      <w:r>
        <w:separator/>
      </w:r>
    </w:p>
  </w:endnote>
  <w:endnote w:type="continuationSeparator" w:id="0">
    <w:p w14:paraId="051910B0" w14:textId="77777777" w:rsidR="00023291" w:rsidRDefault="00023291" w:rsidP="00D80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599058291"/>
      <w:docPartObj>
        <w:docPartGallery w:val="Page Numbers (Bottom of Page)"/>
        <w:docPartUnique/>
      </w:docPartObj>
    </w:sdtPr>
    <w:sdtEndPr/>
    <w:sdtContent>
      <w:sdt>
        <w:sdtPr>
          <w:rPr>
            <w:rFonts w:ascii="Times New Roman" w:hAnsi="Times New Roman" w:cs="Times New Roman"/>
            <w:sz w:val="22"/>
            <w:szCs w:val="22"/>
          </w:rPr>
          <w:id w:val="-1769616900"/>
          <w:docPartObj>
            <w:docPartGallery w:val="Page Numbers (Top of Page)"/>
            <w:docPartUnique/>
          </w:docPartObj>
        </w:sdtPr>
        <w:sdtEndPr/>
        <w:sdtContent>
          <w:p w14:paraId="7669D9B0" w14:textId="29B0DFAC" w:rsidR="00D8032F" w:rsidRPr="00E72AEB" w:rsidRDefault="00D8032F">
            <w:pPr>
              <w:pStyle w:val="Footer"/>
              <w:jc w:val="right"/>
              <w:rPr>
                <w:rFonts w:ascii="Times New Roman" w:hAnsi="Times New Roman" w:cs="Times New Roman"/>
                <w:sz w:val="22"/>
                <w:szCs w:val="22"/>
              </w:rPr>
            </w:pPr>
            <w:r w:rsidRPr="00E72AEB">
              <w:rPr>
                <w:rFonts w:ascii="Times New Roman" w:hAnsi="Times New Roman" w:cs="Times New Roman"/>
                <w:sz w:val="22"/>
                <w:szCs w:val="22"/>
              </w:rPr>
              <w:t xml:space="preserve">Page </w:t>
            </w:r>
            <w:r w:rsidRPr="00E72AEB">
              <w:rPr>
                <w:rFonts w:ascii="Times New Roman" w:hAnsi="Times New Roman" w:cs="Times New Roman"/>
                <w:b/>
                <w:bCs/>
                <w:sz w:val="22"/>
                <w:szCs w:val="22"/>
              </w:rPr>
              <w:fldChar w:fldCharType="begin"/>
            </w:r>
            <w:r w:rsidRPr="00E72AEB">
              <w:rPr>
                <w:rFonts w:ascii="Times New Roman" w:hAnsi="Times New Roman" w:cs="Times New Roman"/>
                <w:b/>
                <w:bCs/>
                <w:sz w:val="22"/>
                <w:szCs w:val="22"/>
              </w:rPr>
              <w:instrText xml:space="preserve"> PAGE </w:instrText>
            </w:r>
            <w:r w:rsidRPr="00E72AEB">
              <w:rPr>
                <w:rFonts w:ascii="Times New Roman" w:hAnsi="Times New Roman" w:cs="Times New Roman"/>
                <w:b/>
                <w:bCs/>
                <w:sz w:val="22"/>
                <w:szCs w:val="22"/>
              </w:rPr>
              <w:fldChar w:fldCharType="separate"/>
            </w:r>
            <w:r w:rsidRPr="00E72AEB">
              <w:rPr>
                <w:rFonts w:ascii="Times New Roman" w:hAnsi="Times New Roman" w:cs="Times New Roman"/>
                <w:b/>
                <w:bCs/>
                <w:noProof/>
                <w:sz w:val="22"/>
                <w:szCs w:val="22"/>
              </w:rPr>
              <w:t>2</w:t>
            </w:r>
            <w:r w:rsidRPr="00E72AEB">
              <w:rPr>
                <w:rFonts w:ascii="Times New Roman" w:hAnsi="Times New Roman" w:cs="Times New Roman"/>
                <w:b/>
                <w:bCs/>
                <w:sz w:val="22"/>
                <w:szCs w:val="22"/>
              </w:rPr>
              <w:fldChar w:fldCharType="end"/>
            </w:r>
            <w:r w:rsidRPr="00E72AEB">
              <w:rPr>
                <w:rFonts w:ascii="Times New Roman" w:hAnsi="Times New Roman" w:cs="Times New Roman"/>
                <w:sz w:val="22"/>
                <w:szCs w:val="22"/>
              </w:rPr>
              <w:t xml:space="preserve"> of </w:t>
            </w:r>
            <w:r w:rsidRPr="00E72AEB">
              <w:rPr>
                <w:rFonts w:ascii="Times New Roman" w:hAnsi="Times New Roman" w:cs="Times New Roman"/>
                <w:b/>
                <w:bCs/>
                <w:sz w:val="22"/>
                <w:szCs w:val="22"/>
              </w:rPr>
              <w:fldChar w:fldCharType="begin"/>
            </w:r>
            <w:r w:rsidRPr="00E72AEB">
              <w:rPr>
                <w:rFonts w:ascii="Times New Roman" w:hAnsi="Times New Roman" w:cs="Times New Roman"/>
                <w:b/>
                <w:bCs/>
                <w:sz w:val="22"/>
                <w:szCs w:val="22"/>
              </w:rPr>
              <w:instrText xml:space="preserve"> NUMPAGES  </w:instrText>
            </w:r>
            <w:r w:rsidRPr="00E72AEB">
              <w:rPr>
                <w:rFonts w:ascii="Times New Roman" w:hAnsi="Times New Roman" w:cs="Times New Roman"/>
                <w:b/>
                <w:bCs/>
                <w:sz w:val="22"/>
                <w:szCs w:val="22"/>
              </w:rPr>
              <w:fldChar w:fldCharType="separate"/>
            </w:r>
            <w:r w:rsidRPr="00E72AEB">
              <w:rPr>
                <w:rFonts w:ascii="Times New Roman" w:hAnsi="Times New Roman" w:cs="Times New Roman"/>
                <w:b/>
                <w:bCs/>
                <w:noProof/>
                <w:sz w:val="22"/>
                <w:szCs w:val="22"/>
              </w:rPr>
              <w:t>2</w:t>
            </w:r>
            <w:r w:rsidRPr="00E72AEB">
              <w:rPr>
                <w:rFonts w:ascii="Times New Roman" w:hAnsi="Times New Roman" w:cs="Times New Roman"/>
                <w:b/>
                <w:bCs/>
                <w:sz w:val="22"/>
                <w:szCs w:val="22"/>
              </w:rPr>
              <w:fldChar w:fldCharType="end"/>
            </w:r>
          </w:p>
        </w:sdtContent>
      </w:sdt>
    </w:sdtContent>
  </w:sdt>
  <w:p w14:paraId="39579E0C" w14:textId="77777777" w:rsidR="00D8032F" w:rsidRDefault="00D80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7E9D" w14:textId="77777777" w:rsidR="00023291" w:rsidRDefault="00023291" w:rsidP="00D8032F">
      <w:pPr>
        <w:spacing w:after="0" w:line="240" w:lineRule="auto"/>
      </w:pPr>
      <w:r>
        <w:separator/>
      </w:r>
    </w:p>
  </w:footnote>
  <w:footnote w:type="continuationSeparator" w:id="0">
    <w:p w14:paraId="52CD28A8" w14:textId="77777777" w:rsidR="00023291" w:rsidRDefault="00023291" w:rsidP="00D80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8EA8" w14:textId="00DFEC3B" w:rsidR="00D8032F" w:rsidRPr="00E72AEB" w:rsidRDefault="00D8032F" w:rsidP="00D8032F">
    <w:pPr>
      <w:pStyle w:val="Header"/>
      <w:jc w:val="center"/>
      <w:rPr>
        <w:rFonts w:ascii="Times New Roman" w:hAnsi="Times New Roman" w:cs="Times New Roman"/>
        <w:b/>
        <w:bCs/>
      </w:rPr>
    </w:pPr>
    <w:r w:rsidRPr="00E72AEB">
      <w:rPr>
        <w:rFonts w:ascii="Times New Roman" w:hAnsi="Times New Roman" w:cs="Times New Roman"/>
        <w:b/>
        <w:bCs/>
      </w:rPr>
      <w:t>EXHIBIT A</w:t>
    </w:r>
    <w:r w:rsidR="003D4D91" w:rsidRPr="00E72AEB">
      <w:rPr>
        <w:rFonts w:ascii="Times New Roman" w:hAnsi="Times New Roman" w:cs="Times New Roman"/>
        <w:b/>
        <w:bCs/>
      </w:rPr>
      <w:t xml:space="preserve"> – SCOPE OF SERVICES</w:t>
    </w:r>
    <w:r w:rsidRPr="00E72AEB">
      <w:rPr>
        <w:rFonts w:ascii="Times New Roman" w:hAnsi="Times New Roman" w:cs="Times New Roman"/>
        <w:b/>
        <w:bCs/>
      </w:rPr>
      <w:t xml:space="preserve"> </w:t>
    </w:r>
    <w:r w:rsidRPr="00E72AEB">
      <w:rPr>
        <w:rFonts w:ascii="Times New Roman" w:hAnsi="Times New Roman" w:cs="Times New Roman"/>
        <w:b/>
        <w:bCs/>
      </w:rPr>
      <w:tab/>
    </w:r>
    <w:r w:rsidR="00B446C3" w:rsidRPr="00E72AEB">
      <w:rPr>
        <w:rFonts w:ascii="Times New Roman" w:hAnsi="Times New Roman" w:cs="Times New Roman"/>
        <w:b/>
        <w:bCs/>
      </w:rPr>
      <w:t xml:space="preserve">  </w:t>
    </w:r>
    <w:r w:rsidR="00B446C3" w:rsidRPr="00E72AEB">
      <w:rPr>
        <w:rFonts w:ascii="Times New Roman" w:hAnsi="Times New Roman" w:cs="Times New Roman"/>
        <w:b/>
        <w:bCs/>
      </w:rPr>
      <w:tab/>
    </w:r>
    <w:r w:rsidRPr="00E72AEB">
      <w:rPr>
        <w:rFonts w:ascii="Times New Roman" w:hAnsi="Times New Roman" w:cs="Times New Roman"/>
        <w:b/>
        <w:bCs/>
      </w:rPr>
      <w:t>2</w:t>
    </w:r>
    <w:r w:rsidR="00F9211A" w:rsidRPr="00E72AEB">
      <w:rPr>
        <w:rFonts w:ascii="Times New Roman" w:hAnsi="Times New Roman" w:cs="Times New Roman"/>
        <w:b/>
        <w:bCs/>
      </w:rPr>
      <w:t>7</w:t>
    </w:r>
    <w:r w:rsidRPr="00E72AEB">
      <w:rPr>
        <w:rFonts w:ascii="Times New Roman" w:hAnsi="Times New Roman" w:cs="Times New Roman"/>
        <w:b/>
        <w:bCs/>
      </w:rPr>
      <w:t>-</w:t>
    </w:r>
    <w:r w:rsidR="00B446C3" w:rsidRPr="00E72AEB">
      <w:rPr>
        <w:rFonts w:ascii="Times New Roman" w:hAnsi="Times New Roman" w:cs="Times New Roman"/>
        <w:b/>
        <w:bCs/>
      </w:rPr>
      <w:t>906</w:t>
    </w:r>
  </w:p>
  <w:p w14:paraId="78F07183" w14:textId="215A284B" w:rsidR="00D8032F" w:rsidRPr="00E72AEB" w:rsidRDefault="00D8032F" w:rsidP="00D8032F">
    <w:pPr>
      <w:spacing w:after="0" w:line="240" w:lineRule="auto"/>
      <w:jc w:val="center"/>
      <w:rPr>
        <w:rFonts w:ascii="Times New Roman" w:hAnsi="Times New Roman" w:cs="Times New Roman"/>
        <w:b/>
        <w:bCs/>
      </w:rPr>
    </w:pPr>
    <w:r w:rsidRPr="00E72AEB">
      <w:rPr>
        <w:rFonts w:ascii="Times New Roman" w:hAnsi="Times New Roman" w:cs="Times New Roman"/>
        <w:b/>
        <w:bCs/>
      </w:rPr>
      <w:t>Fee Structure Review and Revenue Opportunity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83749"/>
    <w:multiLevelType w:val="multilevel"/>
    <w:tmpl w:val="62FA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394221"/>
    <w:multiLevelType w:val="multilevel"/>
    <w:tmpl w:val="7DAC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777051"/>
    <w:multiLevelType w:val="multilevel"/>
    <w:tmpl w:val="F7E265D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5F2DD7"/>
    <w:multiLevelType w:val="multilevel"/>
    <w:tmpl w:val="762E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DE29AB"/>
    <w:multiLevelType w:val="multilevel"/>
    <w:tmpl w:val="724C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2638B2"/>
    <w:multiLevelType w:val="multilevel"/>
    <w:tmpl w:val="6CEE7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3C3B16"/>
    <w:multiLevelType w:val="multilevel"/>
    <w:tmpl w:val="FE48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5A73D6"/>
    <w:multiLevelType w:val="multilevel"/>
    <w:tmpl w:val="41D2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9624396">
    <w:abstractNumId w:val="3"/>
  </w:num>
  <w:num w:numId="2" w16cid:durableId="1515218774">
    <w:abstractNumId w:val="5"/>
  </w:num>
  <w:num w:numId="3" w16cid:durableId="1340308626">
    <w:abstractNumId w:val="0"/>
  </w:num>
  <w:num w:numId="4" w16cid:durableId="939802402">
    <w:abstractNumId w:val="6"/>
  </w:num>
  <w:num w:numId="5" w16cid:durableId="770706326">
    <w:abstractNumId w:val="7"/>
  </w:num>
  <w:num w:numId="6" w16cid:durableId="1812019361">
    <w:abstractNumId w:val="1"/>
  </w:num>
  <w:num w:numId="7" w16cid:durableId="1771654682">
    <w:abstractNumId w:val="4"/>
  </w:num>
  <w:num w:numId="8" w16cid:durableId="577446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95K+/sfgxsi3maYT3277omfSabiCHHnkvz1JjDm3nm1CXyPlOlqAzuEqywGcNKkzFy5DTiAqmbcSqg/femZ0Q==" w:salt="WGCBCkRKuZM+qEXAd8N1o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2F"/>
    <w:rsid w:val="00023291"/>
    <w:rsid w:val="0005651A"/>
    <w:rsid w:val="001579E5"/>
    <w:rsid w:val="00157BC2"/>
    <w:rsid w:val="001731AC"/>
    <w:rsid w:val="001751C7"/>
    <w:rsid w:val="001E304F"/>
    <w:rsid w:val="002562E4"/>
    <w:rsid w:val="00290F82"/>
    <w:rsid w:val="0034360C"/>
    <w:rsid w:val="00357E86"/>
    <w:rsid w:val="003D4D91"/>
    <w:rsid w:val="00403DB3"/>
    <w:rsid w:val="00421203"/>
    <w:rsid w:val="004C11D8"/>
    <w:rsid w:val="005F288A"/>
    <w:rsid w:val="006C7B25"/>
    <w:rsid w:val="007C570C"/>
    <w:rsid w:val="007F1456"/>
    <w:rsid w:val="00815DCC"/>
    <w:rsid w:val="008720B2"/>
    <w:rsid w:val="0089560C"/>
    <w:rsid w:val="00976724"/>
    <w:rsid w:val="009C0CCC"/>
    <w:rsid w:val="009C295D"/>
    <w:rsid w:val="00A26F19"/>
    <w:rsid w:val="00A72172"/>
    <w:rsid w:val="00AC7D34"/>
    <w:rsid w:val="00B206EE"/>
    <w:rsid w:val="00B446C3"/>
    <w:rsid w:val="00B60A24"/>
    <w:rsid w:val="00B6688F"/>
    <w:rsid w:val="00B7179E"/>
    <w:rsid w:val="00BB59D0"/>
    <w:rsid w:val="00C62184"/>
    <w:rsid w:val="00C62AA1"/>
    <w:rsid w:val="00C97C70"/>
    <w:rsid w:val="00D8032F"/>
    <w:rsid w:val="00DA26A3"/>
    <w:rsid w:val="00E63BA0"/>
    <w:rsid w:val="00E63F59"/>
    <w:rsid w:val="00E72AEB"/>
    <w:rsid w:val="00E74601"/>
    <w:rsid w:val="00ED0A1E"/>
    <w:rsid w:val="00EE4952"/>
    <w:rsid w:val="00F50BCE"/>
    <w:rsid w:val="00F9211A"/>
    <w:rsid w:val="00F96924"/>
    <w:rsid w:val="00FD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8F3EF"/>
  <w15:chartTrackingRefBased/>
  <w15:docId w15:val="{CD4A5C2C-2A57-4F07-887A-3C1636F1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32F"/>
    <w:rPr>
      <w:rFonts w:eastAsiaTheme="majorEastAsia" w:cstheme="majorBidi"/>
      <w:color w:val="272727" w:themeColor="text1" w:themeTint="D8"/>
    </w:rPr>
  </w:style>
  <w:style w:type="paragraph" w:styleId="Title">
    <w:name w:val="Title"/>
    <w:basedOn w:val="Normal"/>
    <w:next w:val="Normal"/>
    <w:link w:val="TitleChar"/>
    <w:uiPriority w:val="10"/>
    <w:qFormat/>
    <w:rsid w:val="00D80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32F"/>
    <w:pPr>
      <w:spacing w:before="160"/>
      <w:jc w:val="center"/>
    </w:pPr>
    <w:rPr>
      <w:i/>
      <w:iCs/>
      <w:color w:val="404040" w:themeColor="text1" w:themeTint="BF"/>
    </w:rPr>
  </w:style>
  <w:style w:type="character" w:customStyle="1" w:styleId="QuoteChar">
    <w:name w:val="Quote Char"/>
    <w:basedOn w:val="DefaultParagraphFont"/>
    <w:link w:val="Quote"/>
    <w:uiPriority w:val="29"/>
    <w:rsid w:val="00D8032F"/>
    <w:rPr>
      <w:i/>
      <w:iCs/>
      <w:color w:val="404040" w:themeColor="text1" w:themeTint="BF"/>
    </w:rPr>
  </w:style>
  <w:style w:type="paragraph" w:styleId="ListParagraph">
    <w:name w:val="List Paragraph"/>
    <w:basedOn w:val="Normal"/>
    <w:uiPriority w:val="34"/>
    <w:qFormat/>
    <w:rsid w:val="00D8032F"/>
    <w:pPr>
      <w:ind w:left="720"/>
      <w:contextualSpacing/>
    </w:pPr>
  </w:style>
  <w:style w:type="character" w:styleId="IntenseEmphasis">
    <w:name w:val="Intense Emphasis"/>
    <w:basedOn w:val="DefaultParagraphFont"/>
    <w:uiPriority w:val="21"/>
    <w:qFormat/>
    <w:rsid w:val="00D8032F"/>
    <w:rPr>
      <w:i/>
      <w:iCs/>
      <w:color w:val="0F4761" w:themeColor="accent1" w:themeShade="BF"/>
    </w:rPr>
  </w:style>
  <w:style w:type="paragraph" w:styleId="IntenseQuote">
    <w:name w:val="Intense Quote"/>
    <w:basedOn w:val="Normal"/>
    <w:next w:val="Normal"/>
    <w:link w:val="IntenseQuoteChar"/>
    <w:uiPriority w:val="30"/>
    <w:qFormat/>
    <w:rsid w:val="00D80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32F"/>
    <w:rPr>
      <w:i/>
      <w:iCs/>
      <w:color w:val="0F4761" w:themeColor="accent1" w:themeShade="BF"/>
    </w:rPr>
  </w:style>
  <w:style w:type="character" w:styleId="IntenseReference">
    <w:name w:val="Intense Reference"/>
    <w:basedOn w:val="DefaultParagraphFont"/>
    <w:uiPriority w:val="32"/>
    <w:qFormat/>
    <w:rsid w:val="00D8032F"/>
    <w:rPr>
      <w:b/>
      <w:bCs/>
      <w:smallCaps/>
      <w:color w:val="0F4761" w:themeColor="accent1" w:themeShade="BF"/>
      <w:spacing w:val="5"/>
    </w:rPr>
  </w:style>
  <w:style w:type="paragraph" w:styleId="Header">
    <w:name w:val="header"/>
    <w:basedOn w:val="Normal"/>
    <w:link w:val="HeaderChar"/>
    <w:uiPriority w:val="99"/>
    <w:unhideWhenUsed/>
    <w:rsid w:val="00D80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32F"/>
  </w:style>
  <w:style w:type="paragraph" w:styleId="Footer">
    <w:name w:val="footer"/>
    <w:basedOn w:val="Normal"/>
    <w:link w:val="FooterChar"/>
    <w:uiPriority w:val="99"/>
    <w:unhideWhenUsed/>
    <w:rsid w:val="00D80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32F"/>
  </w:style>
  <w:style w:type="paragraph" w:styleId="Revision">
    <w:name w:val="Revision"/>
    <w:hidden/>
    <w:uiPriority w:val="99"/>
    <w:semiHidden/>
    <w:rsid w:val="001579E5"/>
    <w:pPr>
      <w:spacing w:after="0" w:line="240" w:lineRule="auto"/>
    </w:pPr>
  </w:style>
  <w:style w:type="character" w:styleId="CommentReference">
    <w:name w:val="annotation reference"/>
    <w:basedOn w:val="DefaultParagraphFont"/>
    <w:uiPriority w:val="99"/>
    <w:semiHidden/>
    <w:unhideWhenUsed/>
    <w:rsid w:val="001579E5"/>
    <w:rPr>
      <w:sz w:val="16"/>
      <w:szCs w:val="16"/>
    </w:rPr>
  </w:style>
  <w:style w:type="paragraph" w:styleId="CommentText">
    <w:name w:val="annotation text"/>
    <w:basedOn w:val="Normal"/>
    <w:link w:val="CommentTextChar"/>
    <w:uiPriority w:val="99"/>
    <w:unhideWhenUsed/>
    <w:rsid w:val="001579E5"/>
    <w:pPr>
      <w:spacing w:line="240" w:lineRule="auto"/>
    </w:pPr>
    <w:rPr>
      <w:sz w:val="20"/>
      <w:szCs w:val="20"/>
    </w:rPr>
  </w:style>
  <w:style w:type="character" w:customStyle="1" w:styleId="CommentTextChar">
    <w:name w:val="Comment Text Char"/>
    <w:basedOn w:val="DefaultParagraphFont"/>
    <w:link w:val="CommentText"/>
    <w:uiPriority w:val="99"/>
    <w:rsid w:val="001579E5"/>
    <w:rPr>
      <w:sz w:val="20"/>
      <w:szCs w:val="20"/>
    </w:rPr>
  </w:style>
  <w:style w:type="paragraph" w:styleId="CommentSubject">
    <w:name w:val="annotation subject"/>
    <w:basedOn w:val="CommentText"/>
    <w:next w:val="CommentText"/>
    <w:link w:val="CommentSubjectChar"/>
    <w:uiPriority w:val="99"/>
    <w:semiHidden/>
    <w:unhideWhenUsed/>
    <w:rsid w:val="001579E5"/>
    <w:rPr>
      <w:b/>
      <w:bCs/>
    </w:rPr>
  </w:style>
  <w:style w:type="character" w:customStyle="1" w:styleId="CommentSubjectChar">
    <w:name w:val="Comment Subject Char"/>
    <w:basedOn w:val="CommentTextChar"/>
    <w:link w:val="CommentSubject"/>
    <w:uiPriority w:val="99"/>
    <w:semiHidden/>
    <w:rsid w:val="001579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794</Words>
  <Characters>4528</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Lake County Board of County Commissioners</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19</cp:revision>
  <dcterms:created xsi:type="dcterms:W3CDTF">2026-06-16T13:34:00Z</dcterms:created>
  <dcterms:modified xsi:type="dcterms:W3CDTF">2026-11-05T14:08:00Z</dcterms:modified>
</cp:coreProperties>
</file>