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0F5FEE9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DB27D5">
        <w:rPr>
          <w:bCs/>
          <w:szCs w:val="24"/>
        </w:rPr>
        <w:t>Multi-Family Detached Housing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381F15">
        <w:rPr>
          <w:szCs w:val="24"/>
        </w:rPr>
        <w:t>03/10</w:t>
      </w:r>
      <w:r w:rsidR="00C3031B">
        <w:rPr>
          <w:szCs w:val="24"/>
        </w:rPr>
        <w:t>/202</w:t>
      </w:r>
      <w:r w:rsidR="00381F15">
        <w:rPr>
          <w:szCs w:val="24"/>
        </w:rPr>
        <w:t>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516FC49E" w:rsidR="00B82A39" w:rsidRPr="00225E6D" w:rsidRDefault="00B82A39" w:rsidP="008E5F15">
      <w:pPr>
        <w:spacing w:after="240"/>
        <w:jc w:val="both"/>
        <w:rPr>
          <w:szCs w:val="24"/>
        </w:rPr>
      </w:pPr>
      <w:r w:rsidRPr="00225E6D">
        <w:rPr>
          <w:szCs w:val="24"/>
        </w:rPr>
        <w:t xml:space="preserve">Vendors are responsible </w:t>
      </w:r>
      <w:r w:rsidR="003B5832" w:rsidRPr="00225E6D">
        <w:rPr>
          <w:szCs w:val="24"/>
        </w:rPr>
        <w:t xml:space="preserve">for the </w:t>
      </w:r>
      <w:r w:rsidRPr="00225E6D">
        <w:rPr>
          <w:szCs w:val="24"/>
        </w:rPr>
        <w:t>recei</w:t>
      </w:r>
      <w:r w:rsidR="00F4076C" w:rsidRPr="00225E6D">
        <w:rPr>
          <w:szCs w:val="24"/>
        </w:rPr>
        <w:t>ving</w:t>
      </w:r>
      <w:r w:rsidRPr="00225E6D">
        <w:rPr>
          <w:szCs w:val="24"/>
        </w:rPr>
        <w:t xml:space="preserve"> and acknowledg</w:t>
      </w:r>
      <w:r w:rsidR="00F4076C" w:rsidRPr="00225E6D">
        <w:rPr>
          <w:szCs w:val="24"/>
        </w:rPr>
        <w:t>ing</w:t>
      </w:r>
      <w:r w:rsidRPr="00225E6D">
        <w:rPr>
          <w:szCs w:val="24"/>
        </w:rPr>
        <w:t xml:space="preserve"> </w:t>
      </w:r>
      <w:r w:rsidR="00F4076C" w:rsidRPr="00225E6D">
        <w:rPr>
          <w:szCs w:val="24"/>
        </w:rPr>
        <w:t>a</w:t>
      </w:r>
      <w:r w:rsidRPr="00225E6D">
        <w:rPr>
          <w:szCs w:val="24"/>
        </w:rPr>
        <w:t>ll</w:t>
      </w:r>
      <w:r w:rsidR="0050375E" w:rsidRPr="00225E6D">
        <w:rPr>
          <w:szCs w:val="24"/>
        </w:rPr>
        <w:t xml:space="preserve"> solicitation</w:t>
      </w:r>
      <w:r w:rsidRPr="00225E6D">
        <w:rPr>
          <w:szCs w:val="24"/>
        </w:rPr>
        <w:t xml:space="preserve"> addenda</w:t>
      </w:r>
      <w:r w:rsidR="00855896" w:rsidRPr="00225E6D">
        <w:rPr>
          <w:szCs w:val="24"/>
        </w:rPr>
        <w:t xml:space="preserve">. </w:t>
      </w:r>
      <w:r w:rsidR="00F4076C" w:rsidRPr="00225E6D">
        <w:rPr>
          <w:szCs w:val="24"/>
        </w:rPr>
        <w:t>A</w:t>
      </w:r>
      <w:r w:rsidR="0050375E" w:rsidRPr="00225E6D">
        <w:rPr>
          <w:szCs w:val="24"/>
        </w:rPr>
        <w:t>n electronically signed copy</w:t>
      </w:r>
      <w:r w:rsidR="00F4076C" w:rsidRPr="00225E6D">
        <w:rPr>
          <w:szCs w:val="24"/>
        </w:rPr>
        <w:t xml:space="preserve"> of </w:t>
      </w:r>
      <w:r w:rsidR="009573DE">
        <w:rPr>
          <w:szCs w:val="24"/>
        </w:rPr>
        <w:t>this</w:t>
      </w:r>
      <w:r w:rsidR="00F4076C" w:rsidRPr="00225E6D">
        <w:rPr>
          <w:szCs w:val="24"/>
        </w:rPr>
        <w:t xml:space="preserve"> addendum </w:t>
      </w:r>
      <w:r w:rsidR="009573DE">
        <w:rPr>
          <w:szCs w:val="24"/>
        </w:rPr>
        <w:t>should</w:t>
      </w:r>
      <w:r w:rsidR="00F4076C" w:rsidRPr="00225E6D">
        <w:rPr>
          <w:szCs w:val="24"/>
        </w:rPr>
        <w:t xml:space="preserve"> be submitted along w</w:t>
      </w:r>
      <w:r w:rsidRPr="00225E6D">
        <w:rPr>
          <w:szCs w:val="24"/>
        </w:rPr>
        <w:t>ith</w:t>
      </w:r>
      <w:r w:rsidR="003B5832" w:rsidRPr="00225E6D">
        <w:rPr>
          <w:szCs w:val="24"/>
        </w:rPr>
        <w:t xml:space="preserve"> </w:t>
      </w:r>
      <w:r w:rsidR="00F4076C" w:rsidRPr="00225E6D">
        <w:rPr>
          <w:szCs w:val="24"/>
        </w:rPr>
        <w:t xml:space="preserve">the </w:t>
      </w:r>
      <w:r w:rsidR="0050375E" w:rsidRPr="00225E6D">
        <w:rPr>
          <w:szCs w:val="24"/>
        </w:rPr>
        <w:t xml:space="preserve">solicitation </w:t>
      </w:r>
      <w:r w:rsidR="00F4076C" w:rsidRPr="00225E6D">
        <w:rPr>
          <w:szCs w:val="24"/>
        </w:rPr>
        <w:t>response</w:t>
      </w:r>
      <w:r w:rsidR="00855896" w:rsidRPr="00225E6D">
        <w:rPr>
          <w:szCs w:val="24"/>
        </w:rPr>
        <w:t>.</w:t>
      </w:r>
    </w:p>
    <w:p w14:paraId="652FDB4C" w14:textId="6F24525A" w:rsidR="00B60E88" w:rsidRPr="00225E6D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225E6D">
        <w:t xml:space="preserve">THIS ADDENDUM DOES NOT </w:t>
      </w:r>
      <w:r w:rsidR="00F4076C" w:rsidRPr="00225E6D">
        <w:t xml:space="preserve">ALTER </w:t>
      </w:r>
      <w:r w:rsidRPr="00225E6D">
        <w:t xml:space="preserve">THE </w:t>
      </w:r>
      <w:r w:rsidR="00F4076C" w:rsidRPr="00225E6D">
        <w:t xml:space="preserve">PROPOSAL SUBMISSION </w:t>
      </w:r>
      <w:r w:rsidRPr="00225E6D">
        <w:t>D</w:t>
      </w:r>
      <w:r w:rsidR="00F4076C" w:rsidRPr="00225E6D">
        <w:t>EADLINE</w:t>
      </w:r>
      <w:r w:rsidRPr="00225E6D">
        <w:t>.</w:t>
      </w:r>
    </w:p>
    <w:p w14:paraId="5C1CD418" w14:textId="0E45739E" w:rsidR="00EA1F05" w:rsidRPr="00225E6D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225E6D">
        <w:rPr>
          <w:b/>
          <w:bCs/>
          <w:u w:val="single"/>
        </w:rPr>
        <w:t>QUESTIONS/RESPONSES</w:t>
      </w:r>
    </w:p>
    <w:p w14:paraId="1140A11C" w14:textId="11A0C83E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 xml:space="preserve">Is any portion of the project site located within a FEMA flood zone? </w:t>
      </w:r>
    </w:p>
    <w:p w14:paraId="63818C2C" w14:textId="77777777" w:rsidR="006346A7" w:rsidRPr="00225E6D" w:rsidRDefault="006346A7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No. </w:t>
      </w:r>
    </w:p>
    <w:p w14:paraId="4F255320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5810A96E" w14:textId="2504B6EE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Will this project be subject to County impact fees, utility connection fees, or building permit fees?</w:t>
      </w:r>
    </w:p>
    <w:p w14:paraId="00E8FD9C" w14:textId="22962226" w:rsidR="006346A7" w:rsidRPr="00225E6D" w:rsidRDefault="006346A7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</w:t>
      </w:r>
      <w:r w:rsidR="00B60BCA" w:rsidRPr="00225E6D">
        <w:t>See Exhibit A – Scope of Work, Section 1.5</w:t>
      </w:r>
      <w:r w:rsidR="00DB27D5" w:rsidRPr="00225E6D">
        <w:t>.</w:t>
      </w:r>
    </w:p>
    <w:p w14:paraId="2F38DBCA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574CACB4" w14:textId="5186374F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Can the County confirm that primary access to the project site will be via the existing stub-out road connecting to County Road 561?</w:t>
      </w:r>
    </w:p>
    <w:p w14:paraId="039C59FB" w14:textId="0ED1D2F1" w:rsidR="00B60BCA" w:rsidRPr="00225E6D" w:rsidRDefault="00B60BCA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Confirmed</w:t>
      </w:r>
      <w:r w:rsidR="00DB27D5" w:rsidRPr="00225E6D">
        <w:t>.</w:t>
      </w:r>
    </w:p>
    <w:p w14:paraId="53226D13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1C00F5E2" w14:textId="23BF7594" w:rsidR="00B60BCA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Are any off-site roadway improvements anticipated on County Road 561 (e.g., turn lanes, signalization, widening, etc.)?</w:t>
      </w:r>
    </w:p>
    <w:p w14:paraId="03FBDB6C" w14:textId="6ABF6225" w:rsidR="00B60BCA" w:rsidRPr="00225E6D" w:rsidRDefault="00B60BCA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This need is not listed in the solicitation documents</w:t>
      </w:r>
      <w:r w:rsidR="00DB27D5" w:rsidRPr="00225E6D">
        <w:t>.</w:t>
      </w:r>
    </w:p>
    <w:p w14:paraId="65F1F85C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1CE0463F" w14:textId="77777777" w:rsidR="00B60BCA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Has the County completed a geotechnical report for the site? If so, will it be shared with proposers?</w:t>
      </w:r>
    </w:p>
    <w:p w14:paraId="10954071" w14:textId="74A8C0ED" w:rsidR="00B60BCA" w:rsidRPr="00225E6D" w:rsidRDefault="00B60BCA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See Exhibit O – Geotechnical Investigation</w:t>
      </w:r>
      <w:r w:rsidR="00DB27D5" w:rsidRPr="00225E6D">
        <w:t>.</w:t>
      </w:r>
    </w:p>
    <w:p w14:paraId="1C4FFE01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04D4B6F9" w14:textId="70DAB0B6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Please confirm the status and capacity of</w:t>
      </w:r>
      <w:r w:rsidR="00B60BCA" w:rsidRPr="00225E6D">
        <w:t xml:space="preserve"> </w:t>
      </w:r>
      <w:r w:rsidRPr="00225E6D">
        <w:t>water</w:t>
      </w:r>
      <w:r w:rsidR="00B60BCA" w:rsidRPr="00225E6D">
        <w:t xml:space="preserve">, </w:t>
      </w:r>
      <w:r w:rsidRPr="00225E6D">
        <w:t>sanitary sewer</w:t>
      </w:r>
      <w:r w:rsidR="00B60BCA" w:rsidRPr="00225E6D">
        <w:t xml:space="preserve">, </w:t>
      </w:r>
      <w:r w:rsidRPr="00225E6D">
        <w:t>stormwater outfall</w:t>
      </w:r>
      <w:r w:rsidR="00B60BCA" w:rsidRPr="00225E6D">
        <w:t xml:space="preserve">, and </w:t>
      </w:r>
      <w:r w:rsidRPr="00225E6D">
        <w:t>electric service</w:t>
      </w:r>
      <w:r w:rsidR="00B60BCA" w:rsidRPr="00225E6D">
        <w:t>.</w:t>
      </w:r>
    </w:p>
    <w:p w14:paraId="52E537FC" w14:textId="311BF267" w:rsidR="00B60BCA" w:rsidRPr="00225E6D" w:rsidRDefault="00B60BCA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Confirmed and there is ongoing coordination with the local utility companies, as noted in No.1 Addendum, Question 5.</w:t>
      </w:r>
    </w:p>
    <w:p w14:paraId="21E0F299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0A032A6B" w14:textId="77777777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Are utility extensions or off-site improvements anticipated, and if so, who is responsible?</w:t>
      </w:r>
    </w:p>
    <w:p w14:paraId="2170AB2C" w14:textId="4DC7AA9A" w:rsidR="00381F15" w:rsidRPr="00225E6D" w:rsidRDefault="00381F1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Please refer to Exhibit K – Engineered Drawings</w:t>
      </w:r>
      <w:r w:rsidR="00DB27D5" w:rsidRPr="00225E6D">
        <w:t>.</w:t>
      </w:r>
    </w:p>
    <w:p w14:paraId="1E27F29F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1227930D" w14:textId="77777777" w:rsidR="00381F15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Exhibit L references concrete pre-pour inspections. Please confirm</w:t>
      </w:r>
      <w:r w:rsidR="00381F15" w:rsidRPr="00225E6D">
        <w:t xml:space="preserve"> </w:t>
      </w:r>
      <w:r w:rsidRPr="00225E6D">
        <w:t>whether alternative foundation systems (e.g., engineered pier, helical, or other code-compliant systems) will be considered, or</w:t>
      </w:r>
      <w:r w:rsidR="00381F15" w:rsidRPr="00225E6D">
        <w:t xml:space="preserve"> </w:t>
      </w:r>
      <w:r w:rsidRPr="00225E6D">
        <w:t>whether cast-in-place concrete foundations are mandatory.</w:t>
      </w:r>
    </w:p>
    <w:p w14:paraId="7DDA9A28" w14:textId="2CFEF09E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Vendors may provide alternative foundation </w:t>
      </w:r>
      <w:proofErr w:type="gramStart"/>
      <w:r w:rsidRPr="00225E6D">
        <w:t>systems,</w:t>
      </w:r>
      <w:proofErr w:type="gramEnd"/>
      <w:r w:rsidRPr="00225E6D">
        <w:t xml:space="preserve"> however approval of each system will be at the discretion of the County. </w:t>
      </w:r>
    </w:p>
    <w:p w14:paraId="3906E897" w14:textId="77777777" w:rsidR="00381F15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lastRenderedPageBreak/>
        <w:t xml:space="preserve">Please confirm that factory-built modular housing constructed in accordance with Florida Building Code and applicable HUD/Davis-Bacon requirements </w:t>
      </w:r>
      <w:proofErr w:type="gramStart"/>
      <w:r w:rsidRPr="00225E6D">
        <w:t>is</w:t>
      </w:r>
      <w:proofErr w:type="gramEnd"/>
      <w:r w:rsidRPr="00225E6D">
        <w:t xml:space="preserve"> acceptable under this solicitation.</w:t>
      </w:r>
    </w:p>
    <w:p w14:paraId="7403F9BB" w14:textId="7D93906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Confirmed.</w:t>
      </w:r>
    </w:p>
    <w:p w14:paraId="29219170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2C432647" w14:textId="77777777" w:rsidR="00381F15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Modular manufacturers typically require front-loaded material procurement and factory mobilization.</w:t>
      </w:r>
      <w:r w:rsidR="00381F15" w:rsidRPr="00225E6D">
        <w:t xml:space="preserve"> </w:t>
      </w:r>
      <w:r w:rsidRPr="00225E6D">
        <w:t>Will the County consider a payment schedule that includes an upfront mobilization payment in the range of 40–50% tied to material procurement and production commencement, subject to appropriate performance security?</w:t>
      </w:r>
    </w:p>
    <w:p w14:paraId="29D792DA" w14:textId="2C07E561" w:rsidR="00381F15" w:rsidRPr="00225E6D" w:rsidRDefault="00381F1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No.</w:t>
      </w:r>
    </w:p>
    <w:p w14:paraId="184E19C9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6ED50035" w14:textId="4C538502" w:rsidR="006346A7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Does the County anticipate issuing</w:t>
      </w:r>
      <w:r w:rsidR="00381F15" w:rsidRPr="00225E6D">
        <w:t xml:space="preserve"> </w:t>
      </w:r>
      <w:r w:rsidRPr="00225E6D">
        <w:t>a single release of units, or</w:t>
      </w:r>
      <w:r w:rsidR="00381F15" w:rsidRPr="00225E6D">
        <w:t xml:space="preserve"> </w:t>
      </w:r>
      <w:r w:rsidRPr="00225E6D">
        <w:t>multiple phased task orders over time?</w:t>
      </w:r>
    </w:p>
    <w:p w14:paraId="3C5D1DBF" w14:textId="073FEFF7" w:rsidR="00381F15" w:rsidRPr="00225E6D" w:rsidRDefault="00381F1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Single release of units</w:t>
      </w:r>
      <w:r w:rsidR="00DB27D5" w:rsidRPr="00225E6D">
        <w:t>.</w:t>
      </w:r>
    </w:p>
    <w:p w14:paraId="14BFD03D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27C8CA0A" w14:textId="77777777" w:rsidR="00381F15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What is the County’s target timeline for</w:t>
      </w:r>
      <w:r w:rsidR="00381F15" w:rsidRPr="00225E6D">
        <w:t xml:space="preserve"> </w:t>
      </w:r>
      <w:r w:rsidRPr="00225E6D">
        <w:t>notice to proceed</w:t>
      </w:r>
      <w:r w:rsidR="00381F15" w:rsidRPr="00225E6D">
        <w:t xml:space="preserve"> and </w:t>
      </w:r>
      <w:r w:rsidRPr="00225E6D">
        <w:t>full project completion?</w:t>
      </w:r>
    </w:p>
    <w:p w14:paraId="53C5EAF4" w14:textId="72DFD61F" w:rsidR="00381F15" w:rsidRPr="00225E6D" w:rsidRDefault="00381F15" w:rsidP="00DB27D5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A Notice to Proceed will be issued </w:t>
      </w:r>
      <w:r w:rsidR="00225E6D">
        <w:t>upon successful filing of the Performance and Payment Bond</w:t>
      </w:r>
      <w:r w:rsidRPr="00225E6D">
        <w:t>, with a completion date of December 1, 2026.</w:t>
      </w:r>
    </w:p>
    <w:p w14:paraId="46037714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18658D5D" w14:textId="77777777" w:rsidR="00381F15" w:rsidRPr="00225E6D" w:rsidRDefault="006346A7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>Please confirm the applicable wage determination and whether Davis-Bacon applies to all off-site modular fabrication activities or only on-site work.</w:t>
      </w:r>
    </w:p>
    <w:p w14:paraId="1A4BA51B" w14:textId="2058459E" w:rsidR="00DB27D5" w:rsidRPr="00225E6D" w:rsidRDefault="00381F15" w:rsidP="00225E6D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The Davis-Bacon Act applies to all off-site modular fabrication activities. This includes any construction, alteration, or repair activities that are part of a federally funded or assisted project.</w:t>
      </w:r>
    </w:p>
    <w:p w14:paraId="26D284D1" w14:textId="7573771E" w:rsidR="00381F15" w:rsidRPr="00225E6D" w:rsidRDefault="00DB27D5" w:rsidP="00DB27D5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225E6D">
        <w:rPr>
          <w:rFonts w:ascii="Times New Roman" w:eastAsia="Times New Roman" w:hAnsi="Times New Roman"/>
          <w:color w:val="000000"/>
          <w:sz w:val="24"/>
          <w:szCs w:val="24"/>
        </w:rPr>
        <w:t xml:space="preserve">Attachment requirements reference Section 3. Please clarify the </w:t>
      </w:r>
      <w:r w:rsidR="006346A7" w:rsidRPr="00225E6D">
        <w:rPr>
          <w:rFonts w:ascii="Times New Roman" w:hAnsi="Times New Roman"/>
          <w:sz w:val="24"/>
          <w:szCs w:val="24"/>
        </w:rPr>
        <w:t>target participation levels, if any</w:t>
      </w:r>
      <w:r w:rsidR="00225E6D" w:rsidRPr="00225E6D">
        <w:rPr>
          <w:rFonts w:ascii="Times New Roman" w:hAnsi="Times New Roman"/>
          <w:sz w:val="24"/>
          <w:szCs w:val="24"/>
        </w:rPr>
        <w:t>.</w:t>
      </w:r>
    </w:p>
    <w:p w14:paraId="45EC4A18" w14:textId="71BE10E1" w:rsidR="00225E6D" w:rsidRPr="00225E6D" w:rsidRDefault="00225E6D" w:rsidP="00225E6D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  <w:r w:rsidRPr="00225E6D">
        <w:rPr>
          <w:rFonts w:ascii="Times New Roman" w:hAnsi="Times New Roman"/>
          <w:b/>
          <w:bCs/>
          <w:sz w:val="24"/>
          <w:szCs w:val="24"/>
        </w:rPr>
        <w:t>Response:</w:t>
      </w:r>
      <w:r w:rsidRPr="00225E6D">
        <w:rPr>
          <w:rFonts w:ascii="Times New Roman" w:hAnsi="Times New Roman"/>
          <w:sz w:val="24"/>
          <w:szCs w:val="24"/>
        </w:rPr>
        <w:t xml:space="preserve"> N/A</w:t>
      </w:r>
    </w:p>
    <w:p w14:paraId="1D12B7F3" w14:textId="77777777" w:rsidR="00225E6D" w:rsidRPr="00225E6D" w:rsidRDefault="00225E6D" w:rsidP="00225E6D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F884FC" w14:textId="5CF8B526" w:rsidR="00381F15" w:rsidRPr="00225E6D" w:rsidRDefault="00DB27D5" w:rsidP="00DB27D5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225E6D">
        <w:rPr>
          <w:rFonts w:ascii="Times New Roman" w:eastAsia="Times New Roman" w:hAnsi="Times New Roman"/>
          <w:color w:val="000000"/>
          <w:sz w:val="24"/>
          <w:szCs w:val="24"/>
        </w:rPr>
        <w:t xml:space="preserve">Attachment requirements reference Section 3. Please clarify the </w:t>
      </w:r>
      <w:r w:rsidR="006346A7" w:rsidRPr="00225E6D">
        <w:rPr>
          <w:rFonts w:ascii="Times New Roman" w:hAnsi="Times New Roman"/>
          <w:sz w:val="24"/>
          <w:szCs w:val="24"/>
        </w:rPr>
        <w:t>reporting expectations</w:t>
      </w:r>
    </w:p>
    <w:p w14:paraId="56800768" w14:textId="49BD4A7B" w:rsidR="00DB27D5" w:rsidRPr="00225E6D" w:rsidRDefault="00DB27D5" w:rsidP="00225E6D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</w:t>
      </w:r>
      <w:r w:rsidR="00225E6D" w:rsidRPr="00225E6D">
        <w:t>The Contractor is required to submit Section 3 Worker Certification forms and documentation to HUD. The Contractor must report Section 3 Worker certification at the completion of the project.</w:t>
      </w:r>
    </w:p>
    <w:p w14:paraId="5C5685FD" w14:textId="77777777" w:rsidR="00DB27D5" w:rsidRPr="00225E6D" w:rsidRDefault="00DB27D5" w:rsidP="00DB27D5">
      <w:pPr>
        <w:pStyle w:val="Default"/>
        <w:tabs>
          <w:tab w:val="left" w:pos="360"/>
        </w:tabs>
        <w:spacing w:after="240"/>
        <w:ind w:left="720"/>
        <w:contextualSpacing/>
      </w:pPr>
    </w:p>
    <w:p w14:paraId="3B5C22AC" w14:textId="4441E240" w:rsidR="006346A7" w:rsidRPr="00225E6D" w:rsidRDefault="00225E6D" w:rsidP="00DB27D5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 w:rsidRPr="00225E6D">
        <w:t xml:space="preserve">Attachment requirements reference Section 3. Please clarify </w:t>
      </w:r>
      <w:r w:rsidR="006346A7" w:rsidRPr="00225E6D">
        <w:t>whether off-site manufacturing labor counts toward Section 3 goals</w:t>
      </w:r>
    </w:p>
    <w:p w14:paraId="58B07D61" w14:textId="5BDD112E" w:rsidR="00225E6D" w:rsidRPr="00225E6D" w:rsidRDefault="00225E6D" w:rsidP="00225E6D">
      <w:pPr>
        <w:pStyle w:val="Default"/>
        <w:tabs>
          <w:tab w:val="left" w:pos="360"/>
        </w:tabs>
        <w:spacing w:after="240"/>
        <w:ind w:left="720"/>
        <w:contextualSpacing/>
      </w:pPr>
      <w:r w:rsidRPr="00225E6D">
        <w:rPr>
          <w:b/>
          <w:bCs/>
        </w:rPr>
        <w:t>Response:</w:t>
      </w:r>
      <w:r w:rsidRPr="00225E6D">
        <w:t xml:space="preserve"> Off-site manufacturing labor can count toward Section 3 goals, provided that the worker meets the eligibility criteria for Section 3 certification. Specifically, labor hours spent on contracts can contribute to the overall goals of 25% of total labor hours worked by Section 3 workers and 5% by Targeted Section 3 workers. The Contractor shall maintain documentation and compliance with the regulations to ensure that off-site manufacturing labor is recognized in their Section 3 efforts</w:t>
      </w:r>
    </w:p>
    <w:p w14:paraId="6B4B9A5F" w14:textId="77777777" w:rsidR="00EA1F05" w:rsidRDefault="00EA1F05" w:rsidP="00DB27D5">
      <w:pPr>
        <w:pBdr>
          <w:bottom w:val="single" w:sz="6" w:space="1" w:color="auto"/>
        </w:pBdr>
        <w:spacing w:after="120"/>
        <w:contextualSpacing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</w:t>
      </w:r>
      <w:r>
        <w:lastRenderedPageBreak/>
        <w:t xml:space="preserve">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AD79912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381F15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381F15">
      <w:rPr>
        <w:b/>
        <w:bCs/>
      </w:rPr>
      <w:t>902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C1FA8"/>
    <w:multiLevelType w:val="hybridMultilevel"/>
    <w:tmpl w:val="5000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2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3"/>
  </w:num>
  <w:num w:numId="10" w16cid:durableId="213386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4rgd45M2vOeqVtRTzTct5YvETlPh/TtKkvyJp7RmaJPPY3UEJRTtpnqtIhGKyJy5LQ0oci6U5mI7Lojid+nQ==" w:salt="IVjf14syiT6XB+QsFJoaK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25E6D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1F15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346A7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3F8E"/>
    <w:rsid w:val="0091430A"/>
    <w:rsid w:val="009152CD"/>
    <w:rsid w:val="00932678"/>
    <w:rsid w:val="00933424"/>
    <w:rsid w:val="00954EAB"/>
    <w:rsid w:val="009573DE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BCA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27D5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B3C98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13F8E"/>
    <w:rsid w:val="00925724"/>
    <w:rsid w:val="00E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722</Words>
  <Characters>4154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15</cp:revision>
  <cp:lastPrinted>2020-04-01T15:04:00Z</cp:lastPrinted>
  <dcterms:created xsi:type="dcterms:W3CDTF">2020-04-08T13:16:00Z</dcterms:created>
  <dcterms:modified xsi:type="dcterms:W3CDTF">2026-03-10T20:28:00Z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