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50924F7D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D512AB">
        <w:rPr>
          <w:bCs/>
          <w:szCs w:val="24"/>
        </w:rPr>
        <w:t>Multi-Family Detached Housing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D512AB">
        <w:rPr>
          <w:szCs w:val="24"/>
        </w:rPr>
        <w:t>03/04</w:t>
      </w:r>
      <w:r w:rsidR="00C3031B">
        <w:rPr>
          <w:szCs w:val="24"/>
        </w:rPr>
        <w:t>/202</w:t>
      </w:r>
      <w:r w:rsidR="00D512AB">
        <w:rPr>
          <w:szCs w:val="24"/>
        </w:rPr>
        <w:t>6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19960857" w14:textId="6DE03314" w:rsidR="00DA4DE3" w:rsidRDefault="00EA1F05" w:rsidP="00D512AB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423918AB" w14:textId="38C247BA" w:rsidR="00CA21F4" w:rsidRDefault="00CA21F4" w:rsidP="00CA21F4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Will the project be </w:t>
      </w:r>
      <w:proofErr w:type="gramStart"/>
      <w:r>
        <w:t>awarded</w:t>
      </w:r>
      <w:proofErr w:type="gramEnd"/>
      <w:r>
        <w:t xml:space="preserve"> based on value or cost?  Can you please expand on this?  We would like clarification.</w:t>
      </w:r>
    </w:p>
    <w:p w14:paraId="23743137" w14:textId="3742BD3B" w:rsidR="00CA21F4" w:rsidRDefault="00CA21F4" w:rsidP="00354D9A">
      <w:pPr>
        <w:pStyle w:val="Default"/>
        <w:tabs>
          <w:tab w:val="left" w:pos="360"/>
        </w:tabs>
        <w:spacing w:after="240"/>
        <w:ind w:left="720"/>
        <w:contextualSpacing/>
      </w:pPr>
      <w:r w:rsidRPr="00354D9A">
        <w:rPr>
          <w:b/>
          <w:bCs/>
        </w:rPr>
        <w:t>Response:</w:t>
      </w:r>
      <w:r>
        <w:t xml:space="preserve"> Award will be based on </w:t>
      </w:r>
      <w:r w:rsidR="00D84D4F">
        <w:t>a c</w:t>
      </w:r>
      <w:r w:rsidR="00354D9A">
        <w:t>ost</w:t>
      </w:r>
      <w:r w:rsidR="00D84D4F">
        <w:t>-</w:t>
      </w:r>
      <w:r w:rsidR="00354D9A">
        <w:t>benefit</w:t>
      </w:r>
      <w:r w:rsidR="00D84D4F">
        <w:t xml:space="preserve"> analysis.</w:t>
      </w:r>
    </w:p>
    <w:p w14:paraId="2F334297" w14:textId="77777777" w:rsidR="00354D9A" w:rsidRDefault="00354D9A" w:rsidP="00354D9A">
      <w:pPr>
        <w:pStyle w:val="Default"/>
        <w:tabs>
          <w:tab w:val="left" w:pos="360"/>
        </w:tabs>
        <w:spacing w:after="240"/>
        <w:ind w:left="720"/>
        <w:contextualSpacing/>
      </w:pPr>
    </w:p>
    <w:p w14:paraId="12A9BBB3" w14:textId="55D0750B" w:rsidR="00D512A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>Is a bid bond required?</w:t>
      </w:r>
    </w:p>
    <w:p w14:paraId="6856A02D" w14:textId="08432F81" w:rsidR="00D512AB" w:rsidRDefault="00D512A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A13613">
        <w:rPr>
          <w:b/>
          <w:bCs/>
        </w:rPr>
        <w:t>Response:</w:t>
      </w:r>
      <w:r>
        <w:t xml:space="preserve"> </w:t>
      </w:r>
      <w:r>
        <w:t>No.</w:t>
      </w:r>
    </w:p>
    <w:p w14:paraId="7CA6853D" w14:textId="77777777" w:rsidR="00A13613" w:rsidRDefault="00A13613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48D92059" w14:textId="77777777" w:rsidR="00D512A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Is there any known soil mitigation? </w:t>
      </w:r>
    </w:p>
    <w:p w14:paraId="5E4BC958" w14:textId="3C1223E6" w:rsidR="00D512AB" w:rsidRDefault="00D512A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A13613">
        <w:rPr>
          <w:b/>
          <w:bCs/>
        </w:rPr>
        <w:t>Response:</w:t>
      </w:r>
      <w:r>
        <w:t xml:space="preserve"> </w:t>
      </w:r>
      <w:r>
        <w:t>There is no known soil mitigation anticipated.</w:t>
      </w:r>
    </w:p>
    <w:p w14:paraId="240AFC82" w14:textId="77777777" w:rsidR="00A13613" w:rsidRDefault="00A13613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7393DC1C" w14:textId="77777777" w:rsidR="00D512A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Is there an electrical branching layout? </w:t>
      </w:r>
    </w:p>
    <w:p w14:paraId="1C781D7F" w14:textId="13E22534" w:rsidR="00D512AB" w:rsidRDefault="00D512A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A13613">
        <w:rPr>
          <w:b/>
          <w:bCs/>
        </w:rPr>
        <w:t>Response:</w:t>
      </w:r>
      <w:r>
        <w:t xml:space="preserve"> </w:t>
      </w:r>
      <w:r>
        <w:t xml:space="preserve">No, dwelling </w:t>
      </w:r>
      <w:r w:rsidR="00A13613">
        <w:t>unit</w:t>
      </w:r>
      <w:r>
        <w:t xml:space="preserve"> electrical drawings must be provided by contractor. Refer to </w:t>
      </w:r>
      <w:r w:rsidR="007213E0">
        <w:t xml:space="preserve">Exhibit A - </w:t>
      </w:r>
      <w:r>
        <w:t xml:space="preserve">Scope of </w:t>
      </w:r>
      <w:r w:rsidR="007213E0">
        <w:t>Work</w:t>
      </w:r>
      <w:r w:rsidR="009D0C6B">
        <w:t>,</w:t>
      </w:r>
      <w:r>
        <w:t xml:space="preserve"> section 2.15.16 indicating:</w:t>
      </w:r>
    </w:p>
    <w:p w14:paraId="29529D53" w14:textId="77777777" w:rsidR="00A13613" w:rsidRDefault="00A13613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4269E0B6" w14:textId="0F08A152" w:rsidR="00A13613" w:rsidRDefault="00D512AB" w:rsidP="00A13613">
      <w:pPr>
        <w:pStyle w:val="Default"/>
        <w:tabs>
          <w:tab w:val="left" w:pos="360"/>
        </w:tabs>
        <w:spacing w:after="240"/>
        <w:ind w:left="720"/>
        <w:contextualSpacing/>
      </w:pPr>
      <w:r>
        <w:t>“Contractor shall provide and submit engineering drawings per above dwelling unit requirements for review/approval to the Office of Parks and Water Resources, Facilities Management before proceeding to apply for building permits. Dwelling unit drawings must be signed/sealed by a professional engineer”.</w:t>
      </w:r>
    </w:p>
    <w:p w14:paraId="5BD177D5" w14:textId="77777777" w:rsidR="00A13613" w:rsidRDefault="00A13613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586112F8" w14:textId="3D5C4B58" w:rsidR="00D512AB" w:rsidRDefault="00D512AB" w:rsidP="00A13613">
      <w:pPr>
        <w:pStyle w:val="Default"/>
        <w:tabs>
          <w:tab w:val="left" w:pos="360"/>
        </w:tabs>
        <w:spacing w:after="240"/>
        <w:ind w:left="720"/>
        <w:contextualSpacing/>
      </w:pPr>
      <w:r>
        <w:t>*Note: The required Engineering Drawings shall include architectural, mechanical, plumbing, electrical and structural.</w:t>
      </w:r>
    </w:p>
    <w:p w14:paraId="775EB1B6" w14:textId="77777777" w:rsidR="00A13613" w:rsidRDefault="00A13613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09226345" w14:textId="77777777" w:rsidR="00D512A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Is there any ongoing coordination with the local utility companies? </w:t>
      </w:r>
    </w:p>
    <w:p w14:paraId="1F21A563" w14:textId="3FAC064F" w:rsidR="00D512AB" w:rsidRDefault="00D512A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A13613">
        <w:rPr>
          <w:b/>
          <w:bCs/>
        </w:rPr>
        <w:t>Response:</w:t>
      </w:r>
      <w:r>
        <w:t xml:space="preserve"> </w:t>
      </w:r>
      <w:r>
        <w:t>Yes.</w:t>
      </w:r>
    </w:p>
    <w:p w14:paraId="2549B559" w14:textId="77777777" w:rsidR="00A13613" w:rsidRDefault="00A13613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3E896C3D" w14:textId="492BDC68" w:rsidR="00D512A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>What are the requirements for Telecommunications?</w:t>
      </w:r>
    </w:p>
    <w:p w14:paraId="715EE84D" w14:textId="22DAF802" w:rsidR="00D512AB" w:rsidRDefault="00D512A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A13613">
        <w:rPr>
          <w:b/>
          <w:bCs/>
        </w:rPr>
        <w:t>Response:</w:t>
      </w:r>
      <w:r>
        <w:t xml:space="preserve"> </w:t>
      </w:r>
      <w:r>
        <w:t xml:space="preserve">Refer to </w:t>
      </w:r>
      <w:r w:rsidR="007213E0">
        <w:t xml:space="preserve">Exhibit A - </w:t>
      </w:r>
      <w:r>
        <w:t xml:space="preserve">Scope of </w:t>
      </w:r>
      <w:r w:rsidR="007213E0">
        <w:t>Work</w:t>
      </w:r>
      <w:r w:rsidR="00DD4B1C">
        <w:t>,</w:t>
      </w:r>
      <w:r>
        <w:t xml:space="preserve"> section 2.15 Dwelling Units Minimum Requirements, subsection 2.15.5 indicating: “Cable TV and internet connections shall be provided”.</w:t>
      </w:r>
    </w:p>
    <w:p w14:paraId="0EB08AC7" w14:textId="77777777" w:rsidR="00A13613" w:rsidRDefault="00A13613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189D7D9D" w14:textId="77777777" w:rsidR="00D512A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Please provide clarity on MWBE- are the numbers a goal, or a requirement? </w:t>
      </w:r>
    </w:p>
    <w:p w14:paraId="6102C8BB" w14:textId="5F8905DD" w:rsidR="00D512AB" w:rsidRDefault="00D512A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A13613">
        <w:rPr>
          <w:b/>
          <w:bCs/>
        </w:rPr>
        <w:t>Response:</w:t>
      </w:r>
      <w:r>
        <w:t xml:space="preserve"> </w:t>
      </w:r>
      <w:r w:rsidR="001032AA">
        <w:t>MWBE data is for reporting purposes only.</w:t>
      </w:r>
    </w:p>
    <w:p w14:paraId="28D6D184" w14:textId="77777777" w:rsidR="00A13613" w:rsidRDefault="00A13613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0AD6770E" w14:textId="77777777" w:rsidR="00D512A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>Section 1.1.1- Separate Builders Risk Policy for this project for the full budgeted amount is required? Can this be waived?</w:t>
      </w:r>
    </w:p>
    <w:p w14:paraId="42DBAA64" w14:textId="05C2E159" w:rsidR="00D512AB" w:rsidRDefault="00D512A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A13613">
        <w:rPr>
          <w:b/>
          <w:bCs/>
        </w:rPr>
        <w:t>Response:</w:t>
      </w:r>
      <w:r>
        <w:t xml:space="preserve"> </w:t>
      </w:r>
      <w:r>
        <w:t>No.</w:t>
      </w:r>
    </w:p>
    <w:p w14:paraId="0039673F" w14:textId="77777777" w:rsidR="00246121" w:rsidRDefault="00246121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723393C7" w14:textId="77777777" w:rsidR="00D512A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>With respect to Professional Liability, please confirm this is a requirement, it’s not clear in section 1.1.2</w:t>
      </w:r>
      <w:r>
        <w:t xml:space="preserve">: </w:t>
      </w:r>
      <w:r>
        <w:t>Professional Liability and Specialty Insurance (medical malpractice, engineers, architect, consultant, environmental, pollution, errors and omissions,</w:t>
      </w:r>
      <w:r>
        <w:t xml:space="preserve"> </w:t>
      </w:r>
      <w:r>
        <w:t>etc.) as applicable, with minimum limits of $1,000,000 and annual aggregate of $2,000,000.</w:t>
      </w:r>
    </w:p>
    <w:p w14:paraId="153C6ED3" w14:textId="392C3478" w:rsidR="00D512AB" w:rsidRDefault="00D512A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A13613">
        <w:rPr>
          <w:b/>
          <w:bCs/>
        </w:rPr>
        <w:t>Response:</w:t>
      </w:r>
      <w:r>
        <w:t xml:space="preserve"> </w:t>
      </w:r>
      <w:r>
        <w:t xml:space="preserve">Confirmed. </w:t>
      </w:r>
    </w:p>
    <w:p w14:paraId="65CBD473" w14:textId="77777777" w:rsidR="00A13613" w:rsidRDefault="00A13613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6EE7D07F" w14:textId="77777777" w:rsidR="00D512A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Will the </w:t>
      </w:r>
      <w:r>
        <w:t>C</w:t>
      </w:r>
      <w:r>
        <w:t xml:space="preserve">ounty require a specification book? Or will a performance spec on sheets suffice? </w:t>
      </w:r>
    </w:p>
    <w:p w14:paraId="4A745026" w14:textId="17CC77CD" w:rsidR="00D512AB" w:rsidRDefault="00D512A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A13613">
        <w:rPr>
          <w:b/>
          <w:bCs/>
        </w:rPr>
        <w:t>Response:</w:t>
      </w:r>
      <w:r>
        <w:t xml:space="preserve"> </w:t>
      </w:r>
      <w:r>
        <w:t>A performance specification on sheets will suffice.</w:t>
      </w:r>
    </w:p>
    <w:p w14:paraId="059D1BF2" w14:textId="77777777" w:rsidR="00A13613" w:rsidRDefault="00A13613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4299704A" w14:textId="77777777" w:rsidR="00D512A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What is the cap for liquidated </w:t>
      </w:r>
      <w:proofErr w:type="gramStart"/>
      <w:r>
        <w:t>damages</w:t>
      </w:r>
      <w:proofErr w:type="gramEnd"/>
      <w:r>
        <w:t>?</w:t>
      </w:r>
    </w:p>
    <w:p w14:paraId="3C254ECA" w14:textId="44A8C73E" w:rsidR="00A13613" w:rsidRDefault="00A13613" w:rsidP="00A13613">
      <w:pPr>
        <w:pStyle w:val="Default"/>
        <w:tabs>
          <w:tab w:val="left" w:pos="360"/>
        </w:tabs>
        <w:spacing w:after="240"/>
        <w:contextualSpacing/>
      </w:pPr>
      <w:r>
        <w:tab/>
      </w:r>
      <w:r>
        <w:tab/>
      </w:r>
      <w:r w:rsidR="00D512AB" w:rsidRPr="00A13613">
        <w:rPr>
          <w:b/>
          <w:bCs/>
        </w:rPr>
        <w:t>Response:</w:t>
      </w:r>
      <w:r w:rsidR="00D512AB">
        <w:t xml:space="preserve"> Liquidated</w:t>
      </w:r>
      <w:r w:rsidR="00D512AB">
        <w:t xml:space="preserve"> Damages will be as set forth in the following table:</w:t>
      </w:r>
    </w:p>
    <w:tbl>
      <w:tblPr>
        <w:tblpPr w:leftFromText="180" w:rightFromText="180" w:vertAnchor="text" w:horzAnchor="margin" w:tblpXSpec="right" w:tblpY="1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setting liquidated damages"/>
        <w:tblDescription w:val="Table setting liquidated damages at a per calendar day charge based on service or project amount"/>
      </w:tblPr>
      <w:tblGrid>
        <w:gridCol w:w="4675"/>
        <w:gridCol w:w="4675"/>
      </w:tblGrid>
      <w:tr w:rsidR="00A13613" w14:paraId="4B42308F" w14:textId="77777777" w:rsidTr="00A13613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1C7B2" w14:textId="77777777" w:rsidR="00A13613" w:rsidRPr="0091728B" w:rsidRDefault="00A13613" w:rsidP="00A13613">
            <w:pPr>
              <w:contextualSpacing/>
              <w:jc w:val="both"/>
              <w:rPr>
                <w:snapToGrid/>
                <w:sz w:val="22"/>
                <w:szCs w:val="22"/>
              </w:rPr>
            </w:pPr>
            <w:r w:rsidRPr="0091728B">
              <w:rPr>
                <w:sz w:val="22"/>
                <w:szCs w:val="22"/>
              </w:rPr>
              <w:t>Service/Project Amount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D339" w14:textId="77777777" w:rsidR="00A13613" w:rsidRPr="0091728B" w:rsidRDefault="00A13613" w:rsidP="00A13613">
            <w:pPr>
              <w:contextualSpacing/>
              <w:jc w:val="both"/>
              <w:rPr>
                <w:sz w:val="22"/>
                <w:szCs w:val="22"/>
              </w:rPr>
            </w:pPr>
            <w:r w:rsidRPr="0091728B">
              <w:rPr>
                <w:sz w:val="22"/>
                <w:szCs w:val="22"/>
              </w:rPr>
              <w:t>Daily Charge (Per Calendar Day)</w:t>
            </w:r>
          </w:p>
        </w:tc>
      </w:tr>
      <w:tr w:rsidR="00A13613" w14:paraId="476A0364" w14:textId="77777777" w:rsidTr="00A1361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DCBB8" w14:textId="77777777" w:rsidR="00A13613" w:rsidRPr="0091728B" w:rsidRDefault="00A13613" w:rsidP="00A13613">
            <w:pPr>
              <w:contextualSpacing/>
              <w:jc w:val="both"/>
              <w:rPr>
                <w:sz w:val="22"/>
                <w:szCs w:val="22"/>
              </w:rPr>
            </w:pPr>
            <w:r w:rsidRPr="0091728B">
              <w:rPr>
                <w:sz w:val="22"/>
                <w:szCs w:val="22"/>
              </w:rPr>
              <w:t>$5,000 and under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2FA7" w14:textId="77777777" w:rsidR="00A13613" w:rsidRPr="0091728B" w:rsidRDefault="00A13613" w:rsidP="00A13613">
            <w:pPr>
              <w:contextualSpacing/>
              <w:jc w:val="both"/>
              <w:rPr>
                <w:sz w:val="22"/>
                <w:szCs w:val="22"/>
              </w:rPr>
            </w:pPr>
            <w:r w:rsidRPr="0091728B">
              <w:rPr>
                <w:sz w:val="22"/>
                <w:szCs w:val="22"/>
              </w:rPr>
              <w:t>$25</w:t>
            </w:r>
          </w:p>
        </w:tc>
      </w:tr>
      <w:tr w:rsidR="00A13613" w14:paraId="08D4F821" w14:textId="77777777" w:rsidTr="00A1361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0F87B" w14:textId="77777777" w:rsidR="00A13613" w:rsidRPr="0091728B" w:rsidRDefault="00A13613" w:rsidP="00A13613">
            <w:pPr>
              <w:contextualSpacing/>
              <w:jc w:val="both"/>
              <w:rPr>
                <w:sz w:val="22"/>
                <w:szCs w:val="22"/>
              </w:rPr>
            </w:pPr>
            <w:r w:rsidRPr="0091728B">
              <w:rPr>
                <w:sz w:val="22"/>
                <w:szCs w:val="22"/>
              </w:rPr>
              <w:t>Over $5,000 but less than $10,000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968C4" w14:textId="77777777" w:rsidR="00A13613" w:rsidRPr="0091728B" w:rsidRDefault="00A13613" w:rsidP="00A13613">
            <w:pPr>
              <w:contextualSpacing/>
              <w:jc w:val="both"/>
              <w:rPr>
                <w:sz w:val="22"/>
                <w:szCs w:val="22"/>
              </w:rPr>
            </w:pPr>
            <w:r w:rsidRPr="0091728B">
              <w:rPr>
                <w:sz w:val="22"/>
                <w:szCs w:val="22"/>
              </w:rPr>
              <w:t>$65</w:t>
            </w:r>
          </w:p>
        </w:tc>
      </w:tr>
      <w:tr w:rsidR="00A13613" w14:paraId="42BE90D6" w14:textId="77777777" w:rsidTr="00A1361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FC40E" w14:textId="77777777" w:rsidR="00A13613" w:rsidRPr="0091728B" w:rsidRDefault="00A13613" w:rsidP="00A13613">
            <w:pPr>
              <w:contextualSpacing/>
              <w:jc w:val="both"/>
              <w:rPr>
                <w:sz w:val="22"/>
                <w:szCs w:val="22"/>
              </w:rPr>
            </w:pPr>
            <w:r w:rsidRPr="0091728B">
              <w:rPr>
                <w:sz w:val="22"/>
                <w:szCs w:val="22"/>
              </w:rPr>
              <w:t>$10,000 or more but less than $20,000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14486" w14:textId="77777777" w:rsidR="00A13613" w:rsidRPr="0091728B" w:rsidRDefault="00A13613" w:rsidP="00A13613">
            <w:pPr>
              <w:contextualSpacing/>
              <w:jc w:val="both"/>
              <w:rPr>
                <w:sz w:val="22"/>
                <w:szCs w:val="22"/>
              </w:rPr>
            </w:pPr>
            <w:r w:rsidRPr="0091728B">
              <w:rPr>
                <w:sz w:val="22"/>
                <w:szCs w:val="22"/>
              </w:rPr>
              <w:t>$91</w:t>
            </w:r>
          </w:p>
        </w:tc>
      </w:tr>
      <w:tr w:rsidR="00A13613" w14:paraId="38236059" w14:textId="77777777" w:rsidTr="00A1361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73883" w14:textId="77777777" w:rsidR="00A13613" w:rsidRPr="0091728B" w:rsidRDefault="00A13613" w:rsidP="00A13613">
            <w:pPr>
              <w:contextualSpacing/>
              <w:jc w:val="both"/>
              <w:rPr>
                <w:sz w:val="22"/>
                <w:szCs w:val="22"/>
              </w:rPr>
            </w:pPr>
            <w:r w:rsidRPr="0091728B">
              <w:rPr>
                <w:sz w:val="22"/>
                <w:szCs w:val="22"/>
              </w:rPr>
              <w:t>$20,000 or more but less than $30,000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FBA1B" w14:textId="77777777" w:rsidR="00A13613" w:rsidRPr="0091728B" w:rsidRDefault="00A13613" w:rsidP="00A13613">
            <w:pPr>
              <w:contextualSpacing/>
              <w:jc w:val="both"/>
              <w:rPr>
                <w:sz w:val="22"/>
                <w:szCs w:val="22"/>
              </w:rPr>
            </w:pPr>
            <w:r w:rsidRPr="0091728B">
              <w:rPr>
                <w:sz w:val="22"/>
                <w:szCs w:val="22"/>
              </w:rPr>
              <w:t>$121</w:t>
            </w:r>
          </w:p>
        </w:tc>
      </w:tr>
      <w:tr w:rsidR="00A13613" w14:paraId="0874D2C9" w14:textId="77777777" w:rsidTr="00A1361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3F532" w14:textId="77777777" w:rsidR="00A13613" w:rsidRPr="0091728B" w:rsidRDefault="00A13613" w:rsidP="00A13613">
            <w:pPr>
              <w:contextualSpacing/>
              <w:jc w:val="both"/>
              <w:rPr>
                <w:sz w:val="22"/>
                <w:szCs w:val="22"/>
              </w:rPr>
            </w:pPr>
            <w:r w:rsidRPr="0091728B">
              <w:rPr>
                <w:sz w:val="22"/>
                <w:szCs w:val="22"/>
              </w:rPr>
              <w:t>$30,000 or more but less than $40,000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26837" w14:textId="77777777" w:rsidR="00A13613" w:rsidRPr="0091728B" w:rsidRDefault="00A13613" w:rsidP="00A13613">
            <w:pPr>
              <w:contextualSpacing/>
              <w:jc w:val="both"/>
              <w:rPr>
                <w:sz w:val="22"/>
                <w:szCs w:val="22"/>
              </w:rPr>
            </w:pPr>
            <w:r w:rsidRPr="0091728B">
              <w:rPr>
                <w:sz w:val="22"/>
                <w:szCs w:val="22"/>
              </w:rPr>
              <w:t>$166</w:t>
            </w:r>
          </w:p>
        </w:tc>
      </w:tr>
      <w:tr w:rsidR="00A13613" w14:paraId="6389276B" w14:textId="77777777" w:rsidTr="00A1361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2378" w14:textId="77777777" w:rsidR="00A13613" w:rsidRPr="0091728B" w:rsidRDefault="00A13613" w:rsidP="00A13613">
            <w:pPr>
              <w:contextualSpacing/>
              <w:jc w:val="both"/>
              <w:rPr>
                <w:sz w:val="22"/>
                <w:szCs w:val="22"/>
              </w:rPr>
            </w:pPr>
            <w:r w:rsidRPr="0091728B">
              <w:rPr>
                <w:sz w:val="22"/>
                <w:szCs w:val="22"/>
              </w:rPr>
              <w:t>$40,000 or more but less than $50,000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859C7" w14:textId="77777777" w:rsidR="00A13613" w:rsidRPr="0091728B" w:rsidRDefault="00A13613" w:rsidP="00A13613">
            <w:pPr>
              <w:contextualSpacing/>
              <w:jc w:val="both"/>
              <w:rPr>
                <w:sz w:val="22"/>
                <w:szCs w:val="22"/>
              </w:rPr>
            </w:pPr>
            <w:r w:rsidRPr="0091728B">
              <w:rPr>
                <w:sz w:val="22"/>
                <w:szCs w:val="22"/>
              </w:rPr>
              <w:t>$228</w:t>
            </w:r>
          </w:p>
        </w:tc>
      </w:tr>
      <w:tr w:rsidR="00A13613" w14:paraId="6D16E8E0" w14:textId="77777777" w:rsidTr="00A13613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24F1" w14:textId="77777777" w:rsidR="00A13613" w:rsidRPr="0091728B" w:rsidRDefault="00A13613" w:rsidP="00A13613">
            <w:pPr>
              <w:contextualSpacing/>
              <w:jc w:val="both"/>
              <w:rPr>
                <w:sz w:val="22"/>
                <w:szCs w:val="22"/>
              </w:rPr>
            </w:pPr>
            <w:r w:rsidRPr="0091728B">
              <w:rPr>
                <w:sz w:val="22"/>
                <w:szCs w:val="22"/>
              </w:rPr>
              <w:t>$50,001 or more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E8B3" w14:textId="77777777" w:rsidR="00A13613" w:rsidRPr="0091728B" w:rsidRDefault="00A13613" w:rsidP="00A13613">
            <w:pPr>
              <w:contextualSpacing/>
              <w:jc w:val="both"/>
              <w:rPr>
                <w:sz w:val="22"/>
                <w:szCs w:val="22"/>
              </w:rPr>
            </w:pPr>
            <w:r w:rsidRPr="0091728B">
              <w:rPr>
                <w:sz w:val="22"/>
                <w:szCs w:val="22"/>
              </w:rPr>
              <w:t>$250</w:t>
            </w:r>
          </w:p>
        </w:tc>
      </w:tr>
    </w:tbl>
    <w:p w14:paraId="04931794" w14:textId="3D2DDD1F" w:rsidR="00D512AB" w:rsidRDefault="00D512AB" w:rsidP="00A13613">
      <w:pPr>
        <w:pStyle w:val="Default"/>
        <w:tabs>
          <w:tab w:val="left" w:pos="360"/>
        </w:tabs>
        <w:spacing w:after="240"/>
      </w:pPr>
    </w:p>
    <w:p w14:paraId="38C78AA1" w14:textId="77777777" w:rsidR="00A13613" w:rsidRDefault="00A13613" w:rsidP="00A13613">
      <w:pPr>
        <w:pStyle w:val="Default"/>
        <w:tabs>
          <w:tab w:val="left" w:pos="360"/>
        </w:tabs>
        <w:spacing w:after="240"/>
      </w:pPr>
    </w:p>
    <w:p w14:paraId="4F2EDFD4" w14:textId="77777777" w:rsidR="00A13613" w:rsidRDefault="00A13613" w:rsidP="00A13613">
      <w:pPr>
        <w:pStyle w:val="Default"/>
        <w:tabs>
          <w:tab w:val="left" w:pos="360"/>
        </w:tabs>
        <w:spacing w:after="240"/>
      </w:pPr>
    </w:p>
    <w:p w14:paraId="3F4D36FE" w14:textId="77777777" w:rsidR="00A13613" w:rsidRDefault="00A13613" w:rsidP="00A13613">
      <w:pPr>
        <w:pStyle w:val="Default"/>
        <w:tabs>
          <w:tab w:val="left" w:pos="360"/>
        </w:tabs>
        <w:spacing w:after="240"/>
      </w:pPr>
    </w:p>
    <w:p w14:paraId="092E5932" w14:textId="77777777" w:rsidR="00A13613" w:rsidRDefault="00A13613" w:rsidP="00A13613">
      <w:pPr>
        <w:pStyle w:val="Default"/>
        <w:tabs>
          <w:tab w:val="left" w:pos="360"/>
        </w:tabs>
        <w:spacing w:after="240"/>
      </w:pPr>
    </w:p>
    <w:p w14:paraId="1DA2B53B" w14:textId="77777777" w:rsidR="0091728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What is the ETA on revised Civil Drawings? </w:t>
      </w:r>
    </w:p>
    <w:p w14:paraId="5AB923E9" w14:textId="1951B717" w:rsidR="00D512AB" w:rsidRDefault="0091728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A13613">
        <w:rPr>
          <w:b/>
          <w:bCs/>
          <w:color w:val="auto"/>
        </w:rPr>
        <w:t>Response:</w:t>
      </w:r>
      <w:r w:rsidRPr="00A13613">
        <w:rPr>
          <w:color w:val="auto"/>
        </w:rPr>
        <w:t xml:space="preserve"> </w:t>
      </w:r>
      <w:r w:rsidR="00D512AB">
        <w:t xml:space="preserve">Refer to attached revised </w:t>
      </w:r>
      <w:r w:rsidR="00185136">
        <w:t xml:space="preserve">Exhibit K - </w:t>
      </w:r>
      <w:r w:rsidR="00A13613">
        <w:t xml:space="preserve">Engineered </w:t>
      </w:r>
      <w:r w:rsidR="00185136">
        <w:t xml:space="preserve">Drawings </w:t>
      </w:r>
      <w:r w:rsidR="00D512AB">
        <w:t>dated 3-4-2026. Additional revisions to add force main details and any other minor forthcoming revisions.</w:t>
      </w:r>
    </w:p>
    <w:p w14:paraId="6BC53868" w14:textId="77777777" w:rsidR="00A13613" w:rsidRDefault="00A13613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0148DF0D" w14:textId="77777777" w:rsidR="0091728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Is Landscaping and Irrigation required? If so, please indicate irrigation water source. </w:t>
      </w:r>
    </w:p>
    <w:p w14:paraId="0BA3903E" w14:textId="30ECF070" w:rsidR="00D512AB" w:rsidRDefault="0091728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185136">
        <w:rPr>
          <w:b/>
          <w:bCs/>
        </w:rPr>
        <w:t>Response:</w:t>
      </w:r>
      <w:r>
        <w:t xml:space="preserve"> </w:t>
      </w:r>
      <w:r w:rsidR="00D512AB">
        <w:t>Yes, Landscaping and Irrigation required. Please refer to</w:t>
      </w:r>
      <w:r>
        <w:t xml:space="preserve"> the</w:t>
      </w:r>
      <w:r w:rsidR="00D512AB">
        <w:t xml:space="preserve"> Landscape &amp; Irrigation Plans dated 3-4-2026. Irrigation water source will be City of Tavares existing water main on County Road 561.</w:t>
      </w:r>
    </w:p>
    <w:p w14:paraId="1710576B" w14:textId="77777777" w:rsidR="00185136" w:rsidRDefault="00185136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0FB7DD3E" w14:textId="77777777" w:rsidR="0091728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Please provide Geotech Report. </w:t>
      </w:r>
    </w:p>
    <w:p w14:paraId="1CE151E6" w14:textId="290CB38A" w:rsidR="00D512AB" w:rsidRDefault="0091728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185136">
        <w:rPr>
          <w:b/>
          <w:bCs/>
        </w:rPr>
        <w:t>Response:</w:t>
      </w:r>
      <w:r>
        <w:t xml:space="preserve"> </w:t>
      </w:r>
      <w:r w:rsidR="00D512AB">
        <w:t xml:space="preserve">Please refer to </w:t>
      </w:r>
      <w:r w:rsidR="00185136">
        <w:t xml:space="preserve">Exhibit O - </w:t>
      </w:r>
      <w:r w:rsidR="00D512AB">
        <w:t>Geotechnical Investigation.</w:t>
      </w:r>
    </w:p>
    <w:p w14:paraId="51B4D2A3" w14:textId="77777777" w:rsidR="00185136" w:rsidRDefault="00185136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38A97A0B" w14:textId="77777777" w:rsidR="0091728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Please confirm existing fire hydrant is sufficient for project. </w:t>
      </w:r>
    </w:p>
    <w:p w14:paraId="0B0FA0F3" w14:textId="4658D694" w:rsidR="00D512AB" w:rsidRDefault="0091728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185136">
        <w:rPr>
          <w:b/>
          <w:bCs/>
        </w:rPr>
        <w:t>Response:</w:t>
      </w:r>
      <w:r>
        <w:t xml:space="preserve"> </w:t>
      </w:r>
      <w:r w:rsidR="00D512AB">
        <w:t xml:space="preserve">There are 3 new proposed fire hydrants for the project. Refer to Utility &amp; Fire Plan sheet C-600 included in the revised </w:t>
      </w:r>
      <w:r w:rsidR="00185136">
        <w:t>Exhibit K - Engineered Drawings</w:t>
      </w:r>
      <w:r w:rsidR="00D512AB">
        <w:t xml:space="preserve"> dated 3-4-2026.</w:t>
      </w:r>
    </w:p>
    <w:p w14:paraId="1422EAD4" w14:textId="77777777" w:rsidR="00185136" w:rsidRDefault="00185136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2E8D65DC" w14:textId="20602BDE" w:rsidR="0091728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Please provide </w:t>
      </w:r>
      <w:r w:rsidR="0091728B">
        <w:t xml:space="preserve">the </w:t>
      </w:r>
      <w:r>
        <w:t>spec</w:t>
      </w:r>
      <w:r w:rsidR="0091728B">
        <w:t>ifics</w:t>
      </w:r>
      <w:r>
        <w:t xml:space="preserve"> for </w:t>
      </w:r>
      <w:r w:rsidR="0091728B">
        <w:t xml:space="preserve">the </w:t>
      </w:r>
      <w:r>
        <w:t xml:space="preserve">Entry </w:t>
      </w:r>
      <w:r w:rsidR="0091728B">
        <w:t>F</w:t>
      </w:r>
      <w:r>
        <w:t xml:space="preserve">ire </w:t>
      </w:r>
      <w:r w:rsidR="0091728B">
        <w:t>G</w:t>
      </w:r>
      <w:r>
        <w:t xml:space="preserve">ate. </w:t>
      </w:r>
    </w:p>
    <w:p w14:paraId="719E4D30" w14:textId="6C892070" w:rsidR="00D512AB" w:rsidRDefault="0091728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185136">
        <w:rPr>
          <w:b/>
          <w:bCs/>
        </w:rPr>
        <w:t>Response:</w:t>
      </w:r>
      <w:r>
        <w:t xml:space="preserve"> </w:t>
      </w:r>
      <w:r w:rsidR="00D512AB">
        <w:t xml:space="preserve">Refer to Geometry Plan sheet C-400 included in the attached revised </w:t>
      </w:r>
      <w:r w:rsidR="00185136">
        <w:t>Exhibit K – Engineered Drawings</w:t>
      </w:r>
      <w:r w:rsidR="00D512AB">
        <w:t xml:space="preserve"> dated 3-4-2026, specifically note indicating New Proposed Swing Gate With 'CLICK2ENTER'. In addition, refer to Utility &amp; Fire Plan sheet C-600, Utility Notes #24.</w:t>
      </w:r>
    </w:p>
    <w:p w14:paraId="248629EA" w14:textId="77777777" w:rsidR="00185136" w:rsidRDefault="00185136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6B001D92" w14:textId="77777777" w:rsidR="0091728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Please provide details of crossings between underground utilities located on and off site as indicated on civil drawings. </w:t>
      </w:r>
    </w:p>
    <w:p w14:paraId="61040C24" w14:textId="105ED27C" w:rsidR="00D512AB" w:rsidRDefault="0091728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185136">
        <w:rPr>
          <w:b/>
          <w:bCs/>
        </w:rPr>
        <w:lastRenderedPageBreak/>
        <w:t>Response:</w:t>
      </w:r>
      <w:r>
        <w:t xml:space="preserve"> </w:t>
      </w:r>
      <w:r w:rsidR="00D512AB">
        <w:t xml:space="preserve">Refer to General Details sheets C-700 and C-801, and </w:t>
      </w:r>
      <w:r w:rsidR="00185136">
        <w:t>Wastewater</w:t>
      </w:r>
      <w:r w:rsidR="00D512AB">
        <w:t xml:space="preserve"> Details sheet C-901 included in the attached revised </w:t>
      </w:r>
      <w:r w:rsidR="00185136">
        <w:t>Exhibit K - Engineered Drawings</w:t>
      </w:r>
      <w:r w:rsidR="00D512AB">
        <w:t xml:space="preserve"> dated 3-4-2026.</w:t>
      </w:r>
    </w:p>
    <w:p w14:paraId="675FDB59" w14:textId="77777777" w:rsidR="00185136" w:rsidRDefault="00185136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4AEB7FFF" w14:textId="73A14E36" w:rsidR="0091728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Are all water and electrical meters at each property to be </w:t>
      </w:r>
      <w:r w:rsidR="00185136">
        <w:t>owners’</w:t>
      </w:r>
      <w:r>
        <w:t xml:space="preserve"> cost? </w:t>
      </w:r>
    </w:p>
    <w:p w14:paraId="7352BBE2" w14:textId="04D93E58" w:rsidR="00D512AB" w:rsidRDefault="0091728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185136">
        <w:rPr>
          <w:b/>
          <w:bCs/>
        </w:rPr>
        <w:t>Response:</w:t>
      </w:r>
      <w:r>
        <w:t xml:space="preserve"> </w:t>
      </w:r>
      <w:r w:rsidR="00D512AB">
        <w:t>Lake County will pay directly to the Utility Companies any required water and/or electrical meter cost/fee for each dwelling unit, site lighting system and lift station. Change Orders will not be issued for any Utility Company cost/fee.</w:t>
      </w:r>
    </w:p>
    <w:p w14:paraId="22096AAB" w14:textId="77777777" w:rsidR="00185136" w:rsidRDefault="00185136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7DA8B468" w14:textId="77777777" w:rsidR="0091728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Provide grading elevations for sidewalk and paving. </w:t>
      </w:r>
    </w:p>
    <w:p w14:paraId="47FEC224" w14:textId="222DE1AD" w:rsidR="00D512AB" w:rsidRDefault="0091728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185136">
        <w:rPr>
          <w:b/>
          <w:bCs/>
        </w:rPr>
        <w:t>Response:</w:t>
      </w:r>
      <w:r>
        <w:t xml:space="preserve"> </w:t>
      </w:r>
      <w:r w:rsidR="00D512AB">
        <w:t xml:space="preserve">Refer to Grading &amp; Drainage Plan sheet C-500 included in the attached revised </w:t>
      </w:r>
      <w:r w:rsidR="00185136" w:rsidRPr="00185136">
        <w:t xml:space="preserve">Exhibit K - Engineered Drawings </w:t>
      </w:r>
      <w:r w:rsidR="00D512AB">
        <w:t>dated 3-4-2026.</w:t>
      </w:r>
    </w:p>
    <w:p w14:paraId="6AD74273" w14:textId="77777777" w:rsidR="00185136" w:rsidRDefault="00185136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64BBEBC7" w14:textId="77777777" w:rsidR="0091728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Sheet C700 denotes 4" sidewalks and scope of work document say 6". Please confirm. All concrete sidewalks shall be a minimum of 6” thick (not 5 ½” or 5 ¾”). Wire mesh shall be mounted on chairs. </w:t>
      </w:r>
    </w:p>
    <w:p w14:paraId="136AAE6E" w14:textId="47DA119A" w:rsidR="00D512AB" w:rsidRDefault="0091728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185136">
        <w:rPr>
          <w:b/>
          <w:bCs/>
        </w:rPr>
        <w:t>Response:</w:t>
      </w:r>
      <w:r>
        <w:t xml:space="preserve"> </w:t>
      </w:r>
      <w:r w:rsidR="00D512AB">
        <w:t xml:space="preserve">Refer to </w:t>
      </w:r>
      <w:r w:rsidR="007213E0">
        <w:t xml:space="preserve">Exhibit A - </w:t>
      </w:r>
      <w:r w:rsidR="00D512AB">
        <w:t xml:space="preserve">Scope of </w:t>
      </w:r>
      <w:r w:rsidR="007213E0">
        <w:t>Work</w:t>
      </w:r>
      <w:r w:rsidR="009D0C6B">
        <w:t>,</w:t>
      </w:r>
      <w:r w:rsidR="00D512AB">
        <w:t xml:space="preserve"> section 2.9. In addition, refer to </w:t>
      </w:r>
      <w:r w:rsidR="00185136">
        <w:t xml:space="preserve">Exhibit A - </w:t>
      </w:r>
      <w:r w:rsidR="00D512AB">
        <w:t xml:space="preserve">Scope of </w:t>
      </w:r>
      <w:r w:rsidR="007213E0">
        <w:t>Work</w:t>
      </w:r>
      <w:r w:rsidR="00D512AB">
        <w:t xml:space="preserve"> section 2.8 and Exhibit L - Concrete Pre-pour Inspections for additional requirements.</w:t>
      </w:r>
    </w:p>
    <w:p w14:paraId="4985397F" w14:textId="77777777" w:rsidR="00185136" w:rsidRDefault="00185136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54808E9F" w14:textId="77777777" w:rsidR="0091728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Is </w:t>
      </w:r>
      <w:r w:rsidR="0091728B">
        <w:t xml:space="preserve">a </w:t>
      </w:r>
      <w:r>
        <w:t xml:space="preserve">dumpster a part of scope? If so, are there specs? </w:t>
      </w:r>
    </w:p>
    <w:p w14:paraId="7EB27325" w14:textId="79E2A6E0" w:rsidR="00D512AB" w:rsidRDefault="0091728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185136">
        <w:rPr>
          <w:b/>
          <w:bCs/>
        </w:rPr>
        <w:t>Response:</w:t>
      </w:r>
      <w:r>
        <w:t xml:space="preserve"> </w:t>
      </w:r>
      <w:r w:rsidR="00D512AB">
        <w:t xml:space="preserve">Yes, refer to </w:t>
      </w:r>
      <w:r w:rsidR="007213E0">
        <w:t xml:space="preserve">Exhibit A - </w:t>
      </w:r>
      <w:r w:rsidR="00D512AB">
        <w:t xml:space="preserve">Scope of </w:t>
      </w:r>
      <w:r w:rsidR="007213E0">
        <w:t>Work,</w:t>
      </w:r>
      <w:r w:rsidR="00D512AB">
        <w:t xml:space="preserve"> section 2.16 indicating “construction of dumpster enclosure”. Dumpster Enclosure location shown in Geometry Plan sheet C-400, detail added to sheet C-700 General Details, refer to attached revised </w:t>
      </w:r>
      <w:r w:rsidR="00185136" w:rsidRPr="00185136">
        <w:t xml:space="preserve">Exhibit K - Engineered Drawings </w:t>
      </w:r>
      <w:r w:rsidR="00D512AB">
        <w:t>dated 3-4-2026.</w:t>
      </w:r>
    </w:p>
    <w:p w14:paraId="4779D9B5" w14:textId="77777777" w:rsidR="00185136" w:rsidRDefault="00185136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1EF853B2" w14:textId="77777777" w:rsidR="00D512AB" w:rsidRDefault="00D512AB" w:rsidP="00A13613">
      <w:pPr>
        <w:pStyle w:val="Default"/>
        <w:tabs>
          <w:tab w:val="left" w:pos="360"/>
        </w:tabs>
        <w:spacing w:after="240"/>
        <w:ind w:left="720"/>
        <w:contextualSpacing/>
      </w:pPr>
      <w:r>
        <w:t>*Note: Dumpster Enclosure walls shall be constructed with split face block.</w:t>
      </w:r>
    </w:p>
    <w:p w14:paraId="62E9CA1B" w14:textId="77777777" w:rsidR="00185136" w:rsidRDefault="00185136" w:rsidP="00A13613">
      <w:pPr>
        <w:pStyle w:val="Default"/>
        <w:tabs>
          <w:tab w:val="left" w:pos="360"/>
        </w:tabs>
        <w:spacing w:after="240"/>
        <w:ind w:left="720"/>
        <w:contextualSpacing/>
      </w:pPr>
    </w:p>
    <w:p w14:paraId="7316E2D7" w14:textId="77777777" w:rsidR="0091728B" w:rsidRDefault="00D512AB" w:rsidP="00A13613">
      <w:pPr>
        <w:pStyle w:val="Default"/>
        <w:numPr>
          <w:ilvl w:val="0"/>
          <w:numId w:val="10"/>
        </w:numPr>
        <w:tabs>
          <w:tab w:val="left" w:pos="360"/>
        </w:tabs>
        <w:spacing w:after="240"/>
        <w:contextualSpacing/>
      </w:pPr>
      <w:r>
        <w:t xml:space="preserve">Provide water source for irrigation. </w:t>
      </w:r>
    </w:p>
    <w:p w14:paraId="060A2F4F" w14:textId="79915B92" w:rsidR="00D512AB" w:rsidRPr="00D512AB" w:rsidRDefault="0091728B" w:rsidP="00A13613">
      <w:pPr>
        <w:pStyle w:val="Default"/>
        <w:tabs>
          <w:tab w:val="left" w:pos="360"/>
        </w:tabs>
        <w:spacing w:after="240"/>
        <w:ind w:left="720"/>
        <w:contextualSpacing/>
      </w:pPr>
      <w:r w:rsidRPr="00185136">
        <w:rPr>
          <w:b/>
          <w:bCs/>
        </w:rPr>
        <w:t>Response:</w:t>
      </w:r>
      <w:r>
        <w:t xml:space="preserve"> </w:t>
      </w:r>
      <w:r w:rsidR="00D512AB">
        <w:t>Irrigation water source will be City of Tavares existing water main on County Road 561.</w:t>
      </w:r>
    </w:p>
    <w:p w14:paraId="254BCA53" w14:textId="4C4C768F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2C6D366D" w14:textId="4EC0201B" w:rsidR="00EA1F05" w:rsidRDefault="00A13613" w:rsidP="00EA1F05">
      <w:pPr>
        <w:pBdr>
          <w:bottom w:val="single" w:sz="6" w:space="1" w:color="auto"/>
        </w:pBdr>
        <w:spacing w:after="120"/>
      </w:pPr>
      <w:r>
        <w:t>1. Exhibit K – Engineered Drawings has been replaced with Exhibit K – Engineered Drawings (Revised 3-4-26).</w:t>
      </w:r>
    </w:p>
    <w:p w14:paraId="32528F78" w14:textId="06F40654" w:rsidR="00A13613" w:rsidRDefault="00A13613" w:rsidP="00EA1F05">
      <w:pPr>
        <w:pBdr>
          <w:bottom w:val="single" w:sz="6" w:space="1" w:color="auto"/>
        </w:pBdr>
        <w:spacing w:after="120"/>
      </w:pPr>
      <w:r>
        <w:t xml:space="preserve">2. Exhibit O – Geotechnical Investigation has been added to the solicitation documents. </w:t>
      </w:r>
    </w:p>
    <w:p w14:paraId="7EF0E0C6" w14:textId="556BA09A" w:rsidR="00A13613" w:rsidRPr="00EA1F05" w:rsidRDefault="00A13613" w:rsidP="00EA1F05">
      <w:pPr>
        <w:pBdr>
          <w:bottom w:val="single" w:sz="6" w:space="1" w:color="auto"/>
        </w:pBdr>
        <w:spacing w:after="120"/>
      </w:pPr>
      <w:r>
        <w:t>3. Exhibit P – Landscape and Irrigation Plans (3-4-2026) has been added to the solicitation documents.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lastRenderedPageBreak/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22AAF5D1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D512AB">
      <w:rPr>
        <w:b/>
        <w:bCs/>
      </w:rPr>
      <w:t>1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D512AB">
      <w:rPr>
        <w:b/>
        <w:bCs/>
      </w:rPr>
      <w:t>902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55AE"/>
    <w:multiLevelType w:val="hybridMultilevel"/>
    <w:tmpl w:val="7B029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01B55"/>
    <w:multiLevelType w:val="multilevel"/>
    <w:tmpl w:val="912E070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1"/>
  </w:num>
  <w:num w:numId="2" w16cid:durableId="19864184">
    <w:abstractNumId w:val="8"/>
  </w:num>
  <w:num w:numId="3" w16cid:durableId="1569223518">
    <w:abstractNumId w:val="7"/>
  </w:num>
  <w:num w:numId="4" w16cid:durableId="584000639">
    <w:abstractNumId w:val="9"/>
  </w:num>
  <w:num w:numId="5" w16cid:durableId="489567764">
    <w:abstractNumId w:val="2"/>
  </w:num>
  <w:num w:numId="6" w16cid:durableId="445973893">
    <w:abstractNumId w:val="5"/>
  </w:num>
  <w:num w:numId="7" w16cid:durableId="1036589449">
    <w:abstractNumId w:val="4"/>
  </w:num>
  <w:num w:numId="8" w16cid:durableId="767965953">
    <w:abstractNumId w:val="6"/>
  </w:num>
  <w:num w:numId="9" w16cid:durableId="1435591811">
    <w:abstractNumId w:val="3"/>
  </w:num>
  <w:num w:numId="10" w16cid:durableId="78141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h+IBkqgi22wB3+hTs9Z6fxItgWCm8CuqbxkKFdw9njUdZN8rur+5uy+zDDvh9QZHGFc9r04ee/gyPMZ5a4dnQ==" w:salt="4J4geDSHLYgzNACmmxT8q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2AA"/>
    <w:rsid w:val="00103943"/>
    <w:rsid w:val="001167AC"/>
    <w:rsid w:val="001252A5"/>
    <w:rsid w:val="00132B21"/>
    <w:rsid w:val="00140EBE"/>
    <w:rsid w:val="00160D8F"/>
    <w:rsid w:val="001841B5"/>
    <w:rsid w:val="00185136"/>
    <w:rsid w:val="00187610"/>
    <w:rsid w:val="00196E04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46121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54D9A"/>
    <w:rsid w:val="0036141D"/>
    <w:rsid w:val="00362BF4"/>
    <w:rsid w:val="0036641A"/>
    <w:rsid w:val="00385A10"/>
    <w:rsid w:val="0038787D"/>
    <w:rsid w:val="003A18D7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213E0"/>
    <w:rsid w:val="007368C3"/>
    <w:rsid w:val="00783163"/>
    <w:rsid w:val="00785DA3"/>
    <w:rsid w:val="007A5299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12"/>
    <w:rsid w:val="00910642"/>
    <w:rsid w:val="0091352D"/>
    <w:rsid w:val="0091430A"/>
    <w:rsid w:val="009152CD"/>
    <w:rsid w:val="0091728B"/>
    <w:rsid w:val="00932678"/>
    <w:rsid w:val="00933424"/>
    <w:rsid w:val="00954EAB"/>
    <w:rsid w:val="00992C79"/>
    <w:rsid w:val="00997447"/>
    <w:rsid w:val="009A5699"/>
    <w:rsid w:val="009A68A8"/>
    <w:rsid w:val="009D0C6B"/>
    <w:rsid w:val="009D2D83"/>
    <w:rsid w:val="009D66F5"/>
    <w:rsid w:val="009E2A73"/>
    <w:rsid w:val="009E4371"/>
    <w:rsid w:val="009F6C19"/>
    <w:rsid w:val="00A07B66"/>
    <w:rsid w:val="00A13613"/>
    <w:rsid w:val="00A2718B"/>
    <w:rsid w:val="00A32AF0"/>
    <w:rsid w:val="00A34AFE"/>
    <w:rsid w:val="00A5510B"/>
    <w:rsid w:val="00A6185C"/>
    <w:rsid w:val="00A72F3F"/>
    <w:rsid w:val="00A87373"/>
    <w:rsid w:val="00A87B79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A21F4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512AB"/>
    <w:rsid w:val="00D84D4F"/>
    <w:rsid w:val="00DA4DE3"/>
    <w:rsid w:val="00DB7FA9"/>
    <w:rsid w:val="00DC457D"/>
    <w:rsid w:val="00DC68A5"/>
    <w:rsid w:val="00DD2371"/>
    <w:rsid w:val="00DD4532"/>
    <w:rsid w:val="00DD4B1C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48083F"/>
    <w:rsid w:val="004E3EE4"/>
    <w:rsid w:val="005247F9"/>
    <w:rsid w:val="007036FA"/>
    <w:rsid w:val="008F6B69"/>
    <w:rsid w:val="00910612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4</Pages>
  <Words>1064</Words>
  <Characters>5845</Characters>
  <Application>Microsoft Office Word</Application>
  <DocSecurity>0</DocSecurity>
  <Lines>82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Ponko, Bill</cp:lastModifiedBy>
  <cp:revision>24</cp:revision>
  <cp:lastPrinted>2020-04-01T15:04:00Z</cp:lastPrinted>
  <dcterms:created xsi:type="dcterms:W3CDTF">2020-04-08T13:16:00Z</dcterms:created>
  <dcterms:modified xsi:type="dcterms:W3CDTF">2026-03-04T17:39:00Z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