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F7E32" w14:textId="5F69DFAD" w:rsidR="009044F5" w:rsidRDefault="004F247D" w:rsidP="009044F5">
      <w:pPr>
        <w:pStyle w:val="ListParagraph"/>
        <w:numPr>
          <w:ilvl w:val="0"/>
          <w:numId w:val="2"/>
        </w:numPr>
        <w:spacing w:after="120"/>
        <w:ind w:left="0"/>
        <w:contextualSpacing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BACKGROUND </w:t>
      </w:r>
    </w:p>
    <w:p w14:paraId="3122355C" w14:textId="4CD95152" w:rsidR="009819E9" w:rsidRDefault="00095FC9" w:rsidP="009819E9">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095FC9">
        <w:rPr>
          <w:rFonts w:ascii="Times New Roman" w:hAnsi="Times New Roman" w:cs="Times New Roman"/>
          <w:sz w:val="24"/>
          <w:szCs w:val="24"/>
        </w:rPr>
        <w:t>A qualified Engineering Firm shall provide</w:t>
      </w:r>
      <w:r w:rsidR="00BA4DF6" w:rsidRPr="00BA4DF6">
        <w:rPr>
          <w:rFonts w:ascii="Times New Roman" w:hAnsi="Times New Roman" w:cs="Times New Roman"/>
          <w:color w:val="000000"/>
          <w:sz w:val="24"/>
          <w:szCs w:val="24"/>
        </w:rPr>
        <w:t xml:space="preserve"> </w:t>
      </w:r>
      <w:r w:rsidR="00BA4DF6" w:rsidRPr="00E92A91">
        <w:rPr>
          <w:rFonts w:ascii="Times New Roman" w:hAnsi="Times New Roman" w:cs="Times New Roman"/>
          <w:color w:val="000000"/>
          <w:sz w:val="24"/>
          <w:szCs w:val="24"/>
        </w:rPr>
        <w:t xml:space="preserve">construction, engineering, and inspection (CEI) services for </w:t>
      </w:r>
      <w:r w:rsidR="006A723E">
        <w:rPr>
          <w:rFonts w:ascii="Times New Roman" w:hAnsi="Times New Roman" w:cs="Times New Roman"/>
          <w:color w:val="000000"/>
          <w:sz w:val="24"/>
          <w:szCs w:val="24"/>
        </w:rPr>
        <w:t xml:space="preserve">Hartwood Marsh </w:t>
      </w:r>
      <w:r w:rsidR="00190B57" w:rsidRPr="00AC1187">
        <w:rPr>
          <w:rFonts w:ascii="Times New Roman" w:hAnsi="Times New Roman" w:cs="Times New Roman"/>
          <w:color w:val="000000"/>
          <w:sz w:val="24"/>
          <w:szCs w:val="24"/>
        </w:rPr>
        <w:t xml:space="preserve">Road from </w:t>
      </w:r>
      <w:r w:rsidR="006A723E">
        <w:rPr>
          <w:rFonts w:ascii="Times New Roman" w:hAnsi="Times New Roman" w:cs="Times New Roman"/>
          <w:color w:val="000000"/>
          <w:sz w:val="24"/>
          <w:szCs w:val="24"/>
        </w:rPr>
        <w:t xml:space="preserve">US 27 to Majestic Isle Drive (aka Regency Hills Drive) </w:t>
      </w:r>
      <w:r w:rsidR="00190B57" w:rsidRPr="00AC1187">
        <w:rPr>
          <w:rFonts w:ascii="Times New Roman" w:hAnsi="Times New Roman" w:cs="Times New Roman"/>
          <w:color w:val="000000"/>
          <w:sz w:val="24"/>
          <w:szCs w:val="24"/>
        </w:rPr>
        <w:t>(FDOT FIN No. 44</w:t>
      </w:r>
      <w:r w:rsidR="006A723E">
        <w:rPr>
          <w:rFonts w:ascii="Times New Roman" w:hAnsi="Times New Roman" w:cs="Times New Roman"/>
          <w:color w:val="000000"/>
          <w:sz w:val="24"/>
          <w:szCs w:val="24"/>
        </w:rPr>
        <w:t>1781-1</w:t>
      </w:r>
      <w:r w:rsidR="00190B57" w:rsidRPr="00AC1187">
        <w:rPr>
          <w:rFonts w:ascii="Times New Roman" w:hAnsi="Times New Roman" w:cs="Times New Roman"/>
          <w:color w:val="000000"/>
          <w:sz w:val="24"/>
          <w:szCs w:val="24"/>
        </w:rPr>
        <w:t>-58-01) (Project) located</w:t>
      </w:r>
      <w:r w:rsidRPr="00095FC9">
        <w:rPr>
          <w:rFonts w:ascii="Times New Roman" w:hAnsi="Times New Roman" w:cs="Times New Roman"/>
          <w:sz w:val="24"/>
          <w:szCs w:val="24"/>
        </w:rPr>
        <w:t xml:space="preserve"> in Lake County, Florida. The project is funded with </w:t>
      </w:r>
      <w:r w:rsidR="00EB4040">
        <w:rPr>
          <w:rFonts w:ascii="Times New Roman" w:hAnsi="Times New Roman" w:cs="Times New Roman"/>
          <w:sz w:val="24"/>
          <w:szCs w:val="24"/>
        </w:rPr>
        <w:t>state</w:t>
      </w:r>
      <w:r w:rsidRPr="00095FC9">
        <w:rPr>
          <w:rFonts w:ascii="Times New Roman" w:hAnsi="Times New Roman" w:cs="Times New Roman"/>
          <w:sz w:val="24"/>
          <w:szCs w:val="24"/>
        </w:rPr>
        <w:t xml:space="preserve"> funds under Florida Department of Transportation (FDOT) Local Agency Program (LAP) FM No. </w:t>
      </w:r>
      <w:r w:rsidR="001B05D3">
        <w:rPr>
          <w:rFonts w:ascii="Times New Roman" w:hAnsi="Times New Roman" w:cs="Times New Roman"/>
          <w:sz w:val="24"/>
          <w:szCs w:val="24"/>
        </w:rPr>
        <w:t>44</w:t>
      </w:r>
      <w:r w:rsidR="006A723E">
        <w:rPr>
          <w:rFonts w:ascii="Times New Roman" w:hAnsi="Times New Roman" w:cs="Times New Roman"/>
          <w:sz w:val="24"/>
          <w:szCs w:val="24"/>
        </w:rPr>
        <w:t>1781-1</w:t>
      </w:r>
      <w:r w:rsidR="001B05D3">
        <w:rPr>
          <w:rFonts w:ascii="Times New Roman" w:hAnsi="Times New Roman" w:cs="Times New Roman"/>
          <w:sz w:val="24"/>
          <w:szCs w:val="24"/>
        </w:rPr>
        <w:t>-58-01</w:t>
      </w:r>
      <w:r w:rsidRPr="00095FC9">
        <w:rPr>
          <w:rFonts w:ascii="Times New Roman" w:hAnsi="Times New Roman" w:cs="Times New Roman"/>
          <w:sz w:val="24"/>
          <w:szCs w:val="24"/>
        </w:rPr>
        <w:t xml:space="preserve">. </w:t>
      </w:r>
      <w:r w:rsidR="009819E9">
        <w:rPr>
          <w:rFonts w:ascii="Times New Roman" w:hAnsi="Times New Roman" w:cs="Times New Roman"/>
          <w:sz w:val="24"/>
          <w:szCs w:val="24"/>
        </w:rPr>
        <w:t>The engineering firm will also be responsible for all Equal Employment Opportunity Compliance (EOC), including but not limited to reviewing payrolls, conducting Employee interviews, on-The-Job Training form and CUF Reports.  FDOT LAP certification will be desirable but not required.</w:t>
      </w:r>
    </w:p>
    <w:p w14:paraId="0865DD39" w14:textId="272DE2D4" w:rsidR="009819E9" w:rsidRDefault="009819E9" w:rsidP="009819E9">
      <w:pPr>
        <w:spacing w:after="120" w:line="240" w:lineRule="auto"/>
        <w:ind w:left="547"/>
        <w:jc w:val="both"/>
        <w:rPr>
          <w:rFonts w:ascii="Times New Roman" w:hAnsi="Times New Roman" w:cs="Times New Roman"/>
          <w:sz w:val="24"/>
          <w:szCs w:val="24"/>
        </w:rPr>
      </w:pPr>
      <w:r>
        <w:rPr>
          <w:rFonts w:ascii="Times New Roman" w:hAnsi="Times New Roman" w:cs="Times New Roman"/>
          <w:sz w:val="24"/>
          <w:szCs w:val="24"/>
        </w:rPr>
        <w:t>The Roadway plans shall follow the Florida Department of Transportation, FY 202</w:t>
      </w:r>
      <w:r w:rsidR="006A723E">
        <w:rPr>
          <w:rFonts w:ascii="Times New Roman" w:hAnsi="Times New Roman" w:cs="Times New Roman"/>
          <w:sz w:val="24"/>
          <w:szCs w:val="24"/>
        </w:rPr>
        <w:t>5</w:t>
      </w:r>
      <w:r>
        <w:rPr>
          <w:rFonts w:ascii="Times New Roman" w:hAnsi="Times New Roman" w:cs="Times New Roman"/>
          <w:sz w:val="24"/>
          <w:szCs w:val="24"/>
        </w:rPr>
        <w:t>-2</w:t>
      </w:r>
      <w:r w:rsidR="006A723E">
        <w:rPr>
          <w:rFonts w:ascii="Times New Roman" w:hAnsi="Times New Roman" w:cs="Times New Roman"/>
          <w:sz w:val="24"/>
          <w:szCs w:val="24"/>
        </w:rPr>
        <w:t>6</w:t>
      </w:r>
      <w:r>
        <w:rPr>
          <w:rFonts w:ascii="Times New Roman" w:hAnsi="Times New Roman" w:cs="Times New Roman"/>
          <w:sz w:val="24"/>
          <w:szCs w:val="24"/>
        </w:rPr>
        <w:t xml:space="preserve"> Standard Plans for Roadway and Bridge Construction and applicable Interim Revisions (IRs) and July 2025, Standard Specifications for Road and Bridge Construction.</w:t>
      </w:r>
    </w:p>
    <w:p w14:paraId="46E47C2B" w14:textId="77777777" w:rsidR="009819E9" w:rsidRDefault="009819E9" w:rsidP="009819E9">
      <w:pPr>
        <w:spacing w:after="120" w:line="240" w:lineRule="auto"/>
        <w:ind w:left="547"/>
        <w:jc w:val="both"/>
        <w:rPr>
          <w:rFonts w:ascii="Times New Roman" w:hAnsi="Times New Roman" w:cs="Times New Roman"/>
          <w:sz w:val="24"/>
          <w:szCs w:val="24"/>
        </w:rPr>
      </w:pPr>
      <w:r>
        <w:rPr>
          <w:rFonts w:ascii="Times New Roman" w:hAnsi="Times New Roman" w:cs="Times New Roman"/>
          <w:sz w:val="24"/>
          <w:szCs w:val="24"/>
        </w:rPr>
        <w:t>The Standard Plans for Road and Construction and associated IRs can be found at:</w:t>
      </w:r>
    </w:p>
    <w:p w14:paraId="467C5AC2" w14:textId="77777777" w:rsidR="009819E9" w:rsidRDefault="009819E9" w:rsidP="009819E9">
      <w:pPr>
        <w:spacing w:after="120" w:line="240" w:lineRule="auto"/>
        <w:ind w:left="547"/>
        <w:jc w:val="both"/>
        <w:rPr>
          <w:rFonts w:ascii="Times New Roman" w:hAnsi="Times New Roman" w:cs="Times New Roman"/>
          <w:sz w:val="24"/>
          <w:szCs w:val="24"/>
        </w:rPr>
      </w:pPr>
      <w:hyperlink r:id="rId7" w:history="1">
        <w:r w:rsidRPr="00011D13">
          <w:rPr>
            <w:rStyle w:val="Hyperlink"/>
            <w:rFonts w:ascii="Times New Roman" w:hAnsi="Times New Roman" w:cs="Times New Roman"/>
            <w:sz w:val="24"/>
            <w:szCs w:val="24"/>
          </w:rPr>
          <w:t>https://www.fdot.gov/design/standardplans</w:t>
        </w:r>
      </w:hyperlink>
      <w:r>
        <w:rPr>
          <w:rFonts w:ascii="Times New Roman" w:hAnsi="Times New Roman" w:cs="Times New Roman"/>
          <w:sz w:val="24"/>
          <w:szCs w:val="24"/>
        </w:rPr>
        <w:t xml:space="preserve"> and</w:t>
      </w:r>
    </w:p>
    <w:p w14:paraId="2BB295DA" w14:textId="77777777" w:rsidR="009819E9" w:rsidRDefault="009819E9" w:rsidP="009819E9">
      <w:pPr>
        <w:spacing w:after="120" w:line="240" w:lineRule="auto"/>
        <w:ind w:left="547"/>
        <w:jc w:val="both"/>
        <w:rPr>
          <w:rFonts w:ascii="Times New Roman" w:hAnsi="Times New Roman" w:cs="Times New Roman"/>
          <w:sz w:val="24"/>
          <w:szCs w:val="24"/>
        </w:rPr>
      </w:pPr>
      <w:r>
        <w:rPr>
          <w:rFonts w:ascii="Times New Roman" w:hAnsi="Times New Roman" w:cs="Times New Roman"/>
          <w:sz w:val="24"/>
          <w:szCs w:val="24"/>
        </w:rPr>
        <w:t>Standard Specifications for Road and Bridge Construction can be found at:</w:t>
      </w:r>
    </w:p>
    <w:p w14:paraId="4C8369C5" w14:textId="6AC867F9" w:rsidR="00095FC9" w:rsidRPr="009819E9" w:rsidRDefault="009819E9" w:rsidP="009819E9">
      <w:pPr>
        <w:spacing w:after="120" w:line="240" w:lineRule="auto"/>
        <w:ind w:left="547"/>
        <w:jc w:val="both"/>
        <w:rPr>
          <w:rFonts w:ascii="Times New Roman" w:hAnsi="Times New Roman" w:cs="Times New Roman"/>
          <w:sz w:val="24"/>
          <w:szCs w:val="24"/>
        </w:rPr>
      </w:pPr>
      <w:hyperlink r:id="rId8" w:history="1">
        <w:r w:rsidRPr="00011D13">
          <w:rPr>
            <w:rStyle w:val="Hyperlink"/>
            <w:rFonts w:ascii="Times New Roman" w:hAnsi="Times New Roman" w:cs="Times New Roman"/>
            <w:sz w:val="24"/>
            <w:szCs w:val="24"/>
          </w:rPr>
          <w:t>https://www.fdot.gov/programmanagement/implemented/specbooks</w:t>
        </w:r>
      </w:hyperlink>
    </w:p>
    <w:p w14:paraId="4A356837" w14:textId="323D710D" w:rsidR="00EB4040" w:rsidRPr="00EB4040" w:rsidRDefault="00095FC9" w:rsidP="00EB4040">
      <w:pPr>
        <w:pStyle w:val="ListParagraph"/>
        <w:numPr>
          <w:ilvl w:val="0"/>
          <w:numId w:val="2"/>
        </w:numPr>
        <w:spacing w:after="120" w:line="240" w:lineRule="auto"/>
        <w:ind w:left="0"/>
        <w:contextualSpacing w:val="0"/>
        <w:jc w:val="both"/>
        <w:rPr>
          <w:rFonts w:ascii="Times New Roman" w:hAnsi="Times New Roman" w:cs="Times New Roman"/>
          <w:sz w:val="24"/>
          <w:szCs w:val="24"/>
        </w:rPr>
      </w:pPr>
      <w:r w:rsidRPr="006364A9">
        <w:rPr>
          <w:rFonts w:ascii="Times New Roman" w:hAnsi="Times New Roman" w:cs="Times New Roman"/>
          <w:sz w:val="24"/>
          <w:szCs w:val="24"/>
        </w:rPr>
        <w:t xml:space="preserve">The project consists of </w:t>
      </w:r>
      <w:r w:rsidR="00BA4DF6" w:rsidRPr="006364A9">
        <w:rPr>
          <w:rFonts w:ascii="Times New Roman" w:hAnsi="Times New Roman" w:cs="Times New Roman"/>
          <w:sz w:val="24"/>
          <w:szCs w:val="24"/>
        </w:rPr>
        <w:t>Construction,</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Engineering,</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and</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Inspection</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(CEI)</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services,</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materials</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testing,</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and</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post-design engineering services for the</w:t>
      </w:r>
      <w:r w:rsidR="009819E9" w:rsidRPr="006364A9">
        <w:rPr>
          <w:rFonts w:ascii="Times New Roman" w:hAnsi="Times New Roman" w:cs="Times New Roman"/>
          <w:sz w:val="24"/>
          <w:szCs w:val="24"/>
        </w:rPr>
        <w:t xml:space="preserve"> project</w:t>
      </w:r>
      <w:r w:rsidR="00BA4DF6" w:rsidRPr="006364A9">
        <w:rPr>
          <w:rFonts w:ascii="Times New Roman" w:hAnsi="Times New Roman" w:cs="Times New Roman"/>
          <w:sz w:val="24"/>
          <w:szCs w:val="24"/>
        </w:rPr>
        <w:t>. Consultant shall perform construction oversight including</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the obligation</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to</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assure</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that</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all</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verification</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testing</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is</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performed</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in</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accordance</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with</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the 202</w:t>
      </w:r>
      <w:r w:rsidR="006A723E" w:rsidRPr="006364A9">
        <w:rPr>
          <w:rFonts w:ascii="Times New Roman" w:hAnsi="Times New Roman" w:cs="Times New Roman"/>
          <w:sz w:val="24"/>
          <w:szCs w:val="24"/>
        </w:rPr>
        <w:t>5</w:t>
      </w:r>
      <w:r w:rsidR="00BA4DF6" w:rsidRPr="006364A9">
        <w:rPr>
          <w:rFonts w:ascii="Times New Roman" w:hAnsi="Times New Roman" w:cs="Times New Roman"/>
          <w:sz w:val="24"/>
          <w:szCs w:val="24"/>
        </w:rPr>
        <w:t>-2</w:t>
      </w:r>
      <w:r w:rsidR="006A723E" w:rsidRPr="006364A9">
        <w:rPr>
          <w:rFonts w:ascii="Times New Roman" w:hAnsi="Times New Roman" w:cs="Times New Roman"/>
          <w:sz w:val="24"/>
          <w:szCs w:val="24"/>
        </w:rPr>
        <w:t>6</w:t>
      </w:r>
      <w:r w:rsidR="00BA4DF6" w:rsidRPr="006364A9">
        <w:rPr>
          <w:rFonts w:ascii="Times New Roman" w:hAnsi="Times New Roman" w:cs="Times New Roman"/>
          <w:spacing w:val="40"/>
          <w:sz w:val="24"/>
          <w:szCs w:val="24"/>
        </w:rPr>
        <w:t xml:space="preserve"> </w:t>
      </w:r>
      <w:r w:rsidR="00BA4DF6" w:rsidRPr="006364A9">
        <w:rPr>
          <w:rFonts w:ascii="Times New Roman" w:hAnsi="Times New Roman" w:cs="Times New Roman"/>
          <w:sz w:val="24"/>
          <w:szCs w:val="24"/>
        </w:rPr>
        <w:t>Standard Specifications for Road and Bridge Construction, as amended</w:t>
      </w:r>
      <w:r w:rsidRPr="006364A9">
        <w:rPr>
          <w:rFonts w:ascii="Times New Roman" w:eastAsia="Arial" w:hAnsi="Times New Roman" w:cs="Times New Roman"/>
          <w:sz w:val="24"/>
          <w:szCs w:val="24"/>
        </w:rPr>
        <w:t>.</w:t>
      </w:r>
      <w:r w:rsidR="009819E9" w:rsidRPr="006364A9">
        <w:rPr>
          <w:rFonts w:ascii="Times New Roman" w:eastAsia="Arial" w:hAnsi="Times New Roman" w:cs="Times New Roman"/>
          <w:sz w:val="24"/>
          <w:szCs w:val="24"/>
        </w:rPr>
        <w:t xml:space="preserve">  </w:t>
      </w:r>
      <w:r w:rsidR="009819E9" w:rsidRPr="006364A9">
        <w:rPr>
          <w:rFonts w:ascii="Times New Roman" w:hAnsi="Times New Roman" w:cs="Times New Roman"/>
          <w:sz w:val="24"/>
          <w:szCs w:val="24"/>
        </w:rPr>
        <w:t xml:space="preserve">The project consists of </w:t>
      </w:r>
      <w:r w:rsidR="006A723E" w:rsidRPr="006364A9">
        <w:rPr>
          <w:rFonts w:ascii="Times New Roman" w:hAnsi="Times New Roman" w:cs="Times New Roman"/>
          <w:sz w:val="24"/>
          <w:szCs w:val="24"/>
        </w:rPr>
        <w:t xml:space="preserve">widening Hartwood Marsh Road from US 27 to </w:t>
      </w:r>
      <w:r w:rsidR="006A723E" w:rsidRPr="006364A9">
        <w:rPr>
          <w:rFonts w:ascii="Times New Roman" w:hAnsi="Times New Roman" w:cs="Times New Roman"/>
          <w:color w:val="000000"/>
          <w:sz w:val="24"/>
          <w:szCs w:val="24"/>
        </w:rPr>
        <w:t>Majestic Isle Drive (aka Regency Hills Drive)</w:t>
      </w:r>
      <w:r w:rsidR="009819E9" w:rsidRPr="006364A9">
        <w:rPr>
          <w:rFonts w:ascii="Times New Roman" w:hAnsi="Times New Roman" w:cs="Times New Roman"/>
          <w:sz w:val="24"/>
          <w:szCs w:val="24"/>
        </w:rPr>
        <w:t xml:space="preserve">, approximately </w:t>
      </w:r>
      <w:r w:rsidR="006A723E" w:rsidRPr="006364A9">
        <w:rPr>
          <w:rFonts w:ascii="Times New Roman" w:hAnsi="Times New Roman" w:cs="Times New Roman"/>
          <w:sz w:val="24"/>
          <w:szCs w:val="24"/>
        </w:rPr>
        <w:t>1</w:t>
      </w:r>
      <w:r w:rsidR="009819E9" w:rsidRPr="006364A9">
        <w:rPr>
          <w:rFonts w:ascii="Times New Roman" w:hAnsi="Times New Roman" w:cs="Times New Roman"/>
          <w:sz w:val="24"/>
          <w:szCs w:val="24"/>
        </w:rPr>
        <w:t xml:space="preserve">.11 miles in length.  </w:t>
      </w:r>
      <w:r w:rsidR="006364A9" w:rsidRPr="00EB4040">
        <w:rPr>
          <w:rFonts w:ascii="Times New Roman" w:hAnsi="Times New Roman" w:cs="Times New Roman"/>
          <w:sz w:val="24"/>
          <w:szCs w:val="24"/>
        </w:rPr>
        <w:t>The improvements along Hartwood Marsh include widening (to include stabilization, base, asphalt) from a two-lane roadway to a four-lane roadway.  Traffic separators, shoulders, bike lanes, curb and gutter are part of the roadway profile.  The existing roadway will be reconstructed or milled and resurfaced.  A concrete sidewalk is proposed along with the roadway improvements.  Proposed roadway improvements along South Hancock Road include widening (to include stabilization, base, asphalt) from a two-lane roadway to a four-lane roadway.  Traffic separators are proposed for a section of roadway.  The existing roadway will be milled and resurfaced. A concrete sidewalk is proposed along with the roadway improvements.  Gravity walls are proposed throughout the project limits to accommodate for any drop offs. A perimeter wall is also proposed along certain sections of Hartwood Marsh Road.  Drainage will be conducted through a closed drainage system.  Drainage improvements will include installation of storm pipes, inlets, manholes, and mitered end sections.  The stormwater will be directed either into an existing pond or the proposed pond, depending on the drainage basin.  Traffic signals are proposed at the intersections of Hartwood Marsh Road and Fire Station 2, Hartwood Marsh Road and Danbury Mill Boulevard, and Hartwood Marsh Road and Hancock Road.  Traffic signal upgrades are also proposed at Hartwood Marsh Road and US 27.  Signalization improvement include installation of mast arms, open trench and directional bore of conduit, signal cable, fiber optic cable and connection hardware, controller/cabinet, pull boxes, power service and wire, signal priority and pre-emption system, pedestrian signals and poles, vehicular traffic signals, vehicle detection system, pedestrian detector, traffic signal controller assembly and cabinet, ethernet switch, uninterruptible power supply, and remote power management unit.</w:t>
      </w:r>
    </w:p>
    <w:p w14:paraId="05EE790C" w14:textId="64346C8E" w:rsidR="009044F5" w:rsidRPr="006364A9" w:rsidRDefault="004F247D" w:rsidP="006364A9">
      <w:pPr>
        <w:pStyle w:val="ListParagraph"/>
        <w:numPr>
          <w:ilvl w:val="0"/>
          <w:numId w:val="2"/>
        </w:numPr>
        <w:spacing w:after="120" w:line="240" w:lineRule="auto"/>
        <w:ind w:left="0"/>
        <w:contextualSpacing w:val="0"/>
        <w:jc w:val="both"/>
        <w:rPr>
          <w:rFonts w:ascii="Times New Roman" w:hAnsi="Times New Roman" w:cs="Times New Roman"/>
          <w:b/>
          <w:bCs/>
          <w:sz w:val="24"/>
          <w:szCs w:val="24"/>
        </w:rPr>
      </w:pPr>
      <w:r w:rsidRPr="006364A9">
        <w:rPr>
          <w:rFonts w:ascii="Times New Roman" w:hAnsi="Times New Roman" w:cs="Times New Roman"/>
          <w:b/>
          <w:bCs/>
          <w:sz w:val="24"/>
          <w:szCs w:val="24"/>
        </w:rPr>
        <w:t>DEFINITIONS</w:t>
      </w:r>
    </w:p>
    <w:p w14:paraId="5AAACFC8" w14:textId="0AB07C7D" w:rsidR="004F247D" w:rsidRPr="004F247D" w:rsidRDefault="0055321E" w:rsidP="00A53A72">
      <w:pPr>
        <w:spacing w:after="40" w:line="240" w:lineRule="auto"/>
        <w:jc w:val="both"/>
        <w:rPr>
          <w:rFonts w:ascii="Times New Roman" w:hAnsi="Times New Roman" w:cs="Times New Roman"/>
          <w:b/>
          <w:sz w:val="24"/>
          <w:szCs w:val="24"/>
        </w:rPr>
      </w:pPr>
      <w:r>
        <w:rPr>
          <w:rFonts w:ascii="Times New Roman" w:hAnsi="Times New Roman" w:cs="Times New Roman"/>
          <w:sz w:val="24"/>
          <w:szCs w:val="24"/>
        </w:rPr>
        <w:t>T</w:t>
      </w:r>
      <w:r w:rsidR="004F247D" w:rsidRPr="004F247D">
        <w:rPr>
          <w:rFonts w:ascii="Times New Roman" w:hAnsi="Times New Roman" w:cs="Times New Roman"/>
          <w:sz w:val="24"/>
          <w:szCs w:val="24"/>
        </w:rPr>
        <w:t xml:space="preserve">he following terms or pronouns used in place of them, will have the </w:t>
      </w:r>
      <w:r>
        <w:rPr>
          <w:rFonts w:ascii="Times New Roman" w:hAnsi="Times New Roman" w:cs="Times New Roman"/>
          <w:sz w:val="24"/>
          <w:szCs w:val="24"/>
        </w:rPr>
        <w:t xml:space="preserve">following </w:t>
      </w:r>
      <w:r w:rsidR="004F247D" w:rsidRPr="004F247D">
        <w:rPr>
          <w:rFonts w:ascii="Times New Roman" w:hAnsi="Times New Roman" w:cs="Times New Roman"/>
          <w:sz w:val="24"/>
          <w:szCs w:val="24"/>
        </w:rPr>
        <w:t>meaning</w:t>
      </w:r>
      <w:r>
        <w:rPr>
          <w:rFonts w:ascii="Times New Roman" w:hAnsi="Times New Roman" w:cs="Times New Roman"/>
          <w:sz w:val="24"/>
          <w:szCs w:val="24"/>
        </w:rPr>
        <w:t>s</w:t>
      </w:r>
      <w:r w:rsidR="004F247D" w:rsidRPr="004F247D">
        <w:rPr>
          <w:rFonts w:ascii="Times New Roman" w:hAnsi="Times New Roman" w:cs="Times New Roman"/>
          <w:sz w:val="24"/>
          <w:szCs w:val="24"/>
        </w:rPr>
        <w:t>:</w:t>
      </w:r>
    </w:p>
    <w:p w14:paraId="02BA9039" w14:textId="77777777"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Addendum – A modification, revision or clarification of this RSQ.</w:t>
      </w:r>
    </w:p>
    <w:p w14:paraId="4A3B8BB6" w14:textId="236954F4"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lastRenderedPageBreak/>
        <w:t>BCC Board of County Commissioners - The governing board for Lake County</w:t>
      </w:r>
      <w:r w:rsidR="000C31AE">
        <w:rPr>
          <w:rFonts w:ascii="Times New Roman" w:hAnsi="Times New Roman" w:cs="Times New Roman"/>
          <w:color w:val="000000"/>
          <w:sz w:val="24"/>
          <w:szCs w:val="24"/>
        </w:rPr>
        <w:t>,</w:t>
      </w:r>
      <w:r w:rsidRPr="004F247D">
        <w:rPr>
          <w:rFonts w:ascii="Times New Roman" w:hAnsi="Times New Roman" w:cs="Times New Roman"/>
          <w:color w:val="000000"/>
          <w:sz w:val="24"/>
          <w:szCs w:val="24"/>
        </w:rPr>
        <w:t xml:space="preserve"> Florida.</w:t>
      </w:r>
    </w:p>
    <w:p w14:paraId="696B9704" w14:textId="1993D7CE"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 xml:space="preserve">Consultant – The Professional Engineer or Engineering Firm registered in the State of Florida who performs Professional Engineering Services for </w:t>
      </w:r>
      <w:r w:rsidR="00167B40">
        <w:rPr>
          <w:rFonts w:ascii="Times New Roman" w:hAnsi="Times New Roman" w:cs="Times New Roman"/>
          <w:color w:val="000000"/>
          <w:sz w:val="24"/>
          <w:szCs w:val="24"/>
        </w:rPr>
        <w:t>County</w:t>
      </w:r>
      <w:r w:rsidRPr="004F247D">
        <w:rPr>
          <w:rFonts w:ascii="Times New Roman" w:hAnsi="Times New Roman" w:cs="Times New Roman"/>
          <w:color w:val="000000"/>
          <w:sz w:val="24"/>
          <w:szCs w:val="24"/>
        </w:rPr>
        <w:t>, other than County personnel. The awarded respondent.</w:t>
      </w:r>
    </w:p>
    <w:p w14:paraId="0A98CFD2" w14:textId="77777777" w:rsidR="000C31AE" w:rsidRDefault="000C31AE"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County – Lake County, Florida</w:t>
      </w:r>
    </w:p>
    <w:p w14:paraId="5F8D5363" w14:textId="4D6A85B8"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CCNA – Consultants’ Competitive Negotiation Act, Florida Statute 287.055</w:t>
      </w:r>
    </w:p>
    <w:p w14:paraId="4BC4DC20" w14:textId="77777777"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FDOT - Florida Department of Transportation</w:t>
      </w:r>
    </w:p>
    <w:p w14:paraId="5A3D8553" w14:textId="77777777"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FHWA – Federal Highway Administration</w:t>
      </w:r>
    </w:p>
    <w:p w14:paraId="0530A8DB" w14:textId="77777777"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LAP - Local Agency Program</w:t>
      </w:r>
    </w:p>
    <w:p w14:paraId="36CA9C05" w14:textId="77777777"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RSQ – Request for Proposal – A formal solicitation inviting proposals from qualified firms.</w:t>
      </w:r>
    </w:p>
    <w:p w14:paraId="15D04A14" w14:textId="77777777"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Response - The information package submitted by qualified firms.</w:t>
      </w:r>
    </w:p>
    <w:p w14:paraId="72B6A812" w14:textId="256441D0" w:rsidR="004F247D" w:rsidRPr="004F247D"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4F247D">
        <w:rPr>
          <w:rFonts w:ascii="Times New Roman" w:hAnsi="Times New Roman" w:cs="Times New Roman"/>
          <w:color w:val="000000"/>
          <w:sz w:val="24"/>
          <w:szCs w:val="24"/>
        </w:rPr>
        <w:t xml:space="preserve">Respondent, Consultant, Firm, You and Your - </w:t>
      </w:r>
      <w:r w:rsidR="00167B40">
        <w:rPr>
          <w:rFonts w:ascii="Times New Roman" w:hAnsi="Times New Roman" w:cs="Times New Roman"/>
          <w:color w:val="000000"/>
          <w:sz w:val="24"/>
          <w:szCs w:val="24"/>
        </w:rPr>
        <w:t>Consultant</w:t>
      </w:r>
      <w:r w:rsidRPr="004F247D">
        <w:rPr>
          <w:rFonts w:ascii="Times New Roman" w:hAnsi="Times New Roman" w:cs="Times New Roman"/>
          <w:color w:val="000000"/>
          <w:sz w:val="24"/>
          <w:szCs w:val="24"/>
        </w:rPr>
        <w:t>, person, firm, or corporation who submits a response.</w:t>
      </w:r>
    </w:p>
    <w:p w14:paraId="53D80D7B" w14:textId="77777777" w:rsidR="00A53A72" w:rsidRDefault="004F247D" w:rsidP="00DA318D">
      <w:pPr>
        <w:pStyle w:val="ListParagraph"/>
        <w:numPr>
          <w:ilvl w:val="1"/>
          <w:numId w:val="2"/>
        </w:numPr>
        <w:spacing w:after="60" w:line="240" w:lineRule="auto"/>
        <w:ind w:left="547" w:hanging="547"/>
        <w:contextualSpacing w:val="0"/>
        <w:jc w:val="both"/>
        <w:rPr>
          <w:rFonts w:ascii="Times New Roman" w:hAnsi="Times New Roman" w:cs="Times New Roman"/>
          <w:color w:val="000000"/>
          <w:sz w:val="24"/>
          <w:szCs w:val="24"/>
        </w:rPr>
      </w:pPr>
      <w:r w:rsidRPr="00A53A72">
        <w:rPr>
          <w:rFonts w:ascii="Times New Roman" w:hAnsi="Times New Roman" w:cs="Times New Roman"/>
          <w:color w:val="000000"/>
          <w:sz w:val="24"/>
          <w:szCs w:val="24"/>
        </w:rPr>
        <w:t>Shall, Must or Will – Indicate</w:t>
      </w:r>
      <w:r w:rsidR="00167B40" w:rsidRPr="00A53A72">
        <w:rPr>
          <w:rFonts w:ascii="Times New Roman" w:hAnsi="Times New Roman" w:cs="Times New Roman"/>
          <w:color w:val="000000"/>
          <w:sz w:val="24"/>
          <w:szCs w:val="24"/>
        </w:rPr>
        <w:t>s</w:t>
      </w:r>
      <w:r w:rsidRPr="00A53A72">
        <w:rPr>
          <w:rFonts w:ascii="Times New Roman" w:hAnsi="Times New Roman" w:cs="Times New Roman"/>
          <w:color w:val="000000"/>
          <w:sz w:val="24"/>
          <w:szCs w:val="24"/>
        </w:rPr>
        <w:t xml:space="preserve"> a mandatory requirement or condition, the material deviation from which will not be waived by </w:t>
      </w:r>
      <w:r w:rsidR="00167B40" w:rsidRPr="00A53A72">
        <w:rPr>
          <w:rFonts w:ascii="Times New Roman" w:hAnsi="Times New Roman" w:cs="Times New Roman"/>
          <w:color w:val="000000"/>
          <w:sz w:val="24"/>
          <w:szCs w:val="24"/>
        </w:rPr>
        <w:t>County</w:t>
      </w:r>
      <w:r w:rsidRPr="00A53A72">
        <w:rPr>
          <w:rFonts w:ascii="Times New Roman" w:hAnsi="Times New Roman" w:cs="Times New Roman"/>
          <w:color w:val="000000"/>
          <w:sz w:val="24"/>
          <w:szCs w:val="24"/>
        </w:rPr>
        <w:t>.</w:t>
      </w:r>
      <w:r w:rsidR="00A53A72" w:rsidRPr="00A53A72">
        <w:rPr>
          <w:rFonts w:ascii="Times New Roman" w:hAnsi="Times New Roman" w:cs="Times New Roman"/>
          <w:color w:val="000000"/>
          <w:sz w:val="24"/>
          <w:szCs w:val="24"/>
        </w:rPr>
        <w:t xml:space="preserve"> </w:t>
      </w:r>
    </w:p>
    <w:p w14:paraId="05B853D9" w14:textId="14F78CC8" w:rsidR="004F247D" w:rsidRPr="00A53A72" w:rsidRDefault="004F247D"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A53A72">
        <w:rPr>
          <w:rFonts w:ascii="Times New Roman" w:hAnsi="Times New Roman" w:cs="Times New Roman"/>
          <w:color w:val="000000"/>
          <w:sz w:val="24"/>
          <w:szCs w:val="24"/>
        </w:rPr>
        <w:t xml:space="preserve">Should or May - </w:t>
      </w:r>
      <w:r w:rsidR="0055321E" w:rsidRPr="00A53A72">
        <w:rPr>
          <w:rFonts w:ascii="Times New Roman" w:hAnsi="Times New Roman" w:cs="Times New Roman"/>
          <w:color w:val="000000"/>
          <w:sz w:val="24"/>
          <w:szCs w:val="24"/>
        </w:rPr>
        <w:t>A</w:t>
      </w:r>
      <w:r w:rsidRPr="00A53A72">
        <w:rPr>
          <w:rFonts w:ascii="Times New Roman" w:hAnsi="Times New Roman" w:cs="Times New Roman"/>
          <w:color w:val="000000"/>
          <w:sz w:val="24"/>
          <w:szCs w:val="24"/>
        </w:rPr>
        <w:t xml:space="preserve">re permissive in nature. Deviation from such a condition or requirement will not by itself cause automatic rejection of a qualifications </w:t>
      </w:r>
      <w:r w:rsidR="0021514D" w:rsidRPr="00A53A72">
        <w:rPr>
          <w:rFonts w:ascii="Times New Roman" w:hAnsi="Times New Roman" w:cs="Times New Roman"/>
          <w:color w:val="000000"/>
          <w:sz w:val="24"/>
          <w:szCs w:val="24"/>
        </w:rPr>
        <w:t>package but</w:t>
      </w:r>
      <w:r w:rsidRPr="00A53A72">
        <w:rPr>
          <w:rFonts w:ascii="Times New Roman" w:hAnsi="Times New Roman" w:cs="Times New Roman"/>
          <w:color w:val="000000"/>
          <w:sz w:val="24"/>
          <w:szCs w:val="24"/>
        </w:rPr>
        <w:t xml:space="preserve"> may be a factor considered in the overall evaluation process.</w:t>
      </w:r>
    </w:p>
    <w:p w14:paraId="00E7DDF5" w14:textId="77777777" w:rsidR="003F017B" w:rsidRDefault="003F017B" w:rsidP="003F017B">
      <w:pPr>
        <w:pStyle w:val="ListParagraph"/>
        <w:numPr>
          <w:ilvl w:val="0"/>
          <w:numId w:val="2"/>
        </w:numPr>
        <w:spacing w:after="120" w:line="240" w:lineRule="auto"/>
        <w:ind w:left="0"/>
        <w:contextualSpacing w:val="0"/>
        <w:jc w:val="both"/>
        <w:rPr>
          <w:rFonts w:ascii="Times New Roman" w:hAnsi="Times New Roman" w:cs="Times New Roman"/>
          <w:b/>
          <w:bCs/>
          <w:color w:val="000000"/>
          <w:sz w:val="24"/>
          <w:szCs w:val="24"/>
        </w:rPr>
      </w:pPr>
      <w:r w:rsidRPr="00AB0BC6">
        <w:rPr>
          <w:rFonts w:ascii="Times New Roman" w:hAnsi="Times New Roman" w:cs="Times New Roman"/>
          <w:b/>
          <w:bCs/>
          <w:color w:val="000000"/>
          <w:sz w:val="24"/>
          <w:szCs w:val="24"/>
        </w:rPr>
        <w:t>Q</w:t>
      </w:r>
      <w:r>
        <w:rPr>
          <w:rFonts w:ascii="Times New Roman" w:hAnsi="Times New Roman" w:cs="Times New Roman"/>
          <w:b/>
          <w:bCs/>
          <w:color w:val="000000"/>
          <w:sz w:val="24"/>
          <w:szCs w:val="24"/>
        </w:rPr>
        <w:t>UALIFYING STANDARDS</w:t>
      </w:r>
    </w:p>
    <w:p w14:paraId="194F03FF" w14:textId="0A97FD8A" w:rsidR="003F017B" w:rsidRPr="006C24FF" w:rsidRDefault="003F017B" w:rsidP="006C24FF">
      <w:pPr>
        <w:pStyle w:val="ListParagraph"/>
        <w:numPr>
          <w:ilvl w:val="1"/>
          <w:numId w:val="2"/>
        </w:numPr>
        <w:spacing w:after="120" w:line="240" w:lineRule="auto"/>
        <w:ind w:left="540" w:hanging="540"/>
        <w:contextualSpacing w:val="0"/>
        <w:jc w:val="both"/>
        <w:rPr>
          <w:sz w:val="24"/>
          <w:szCs w:val="24"/>
        </w:rPr>
      </w:pPr>
      <w:bookmarkStart w:id="0" w:name="_Hlk158812082"/>
      <w:r w:rsidRPr="006C24FF">
        <w:rPr>
          <w:rFonts w:ascii="Times New Roman" w:hAnsi="Times New Roman" w:cs="Times New Roman"/>
          <w:sz w:val="24"/>
          <w:szCs w:val="24"/>
        </w:rPr>
        <w:t>Pursuant to Chapters 471, 472, and/or 481, Florida Statutes, as applicable, Consultant shall be registered with the State of Florida and have obtained at least the minimum thresholds of education and experience required by the applicable statute(s).</w:t>
      </w:r>
    </w:p>
    <w:p w14:paraId="07591413" w14:textId="77777777" w:rsidR="003F017B" w:rsidRPr="00AB0BC6" w:rsidRDefault="003F017B" w:rsidP="006C24FF">
      <w:pPr>
        <w:pStyle w:val="ListParagraph"/>
        <w:numPr>
          <w:ilvl w:val="1"/>
          <w:numId w:val="2"/>
        </w:numPr>
        <w:spacing w:after="120" w:line="240" w:lineRule="auto"/>
        <w:ind w:left="540" w:hanging="540"/>
        <w:contextualSpacing w:val="0"/>
        <w:jc w:val="both"/>
        <w:rPr>
          <w:rFonts w:ascii="Times New Roman" w:hAnsi="Times New Roman" w:cs="Times New Roman"/>
          <w:sz w:val="24"/>
          <w:szCs w:val="24"/>
        </w:rPr>
      </w:pPr>
      <w:r>
        <w:rPr>
          <w:rFonts w:ascii="Times New Roman" w:hAnsi="Times New Roman" w:cs="Times New Roman"/>
          <w:sz w:val="24"/>
          <w:szCs w:val="24"/>
        </w:rPr>
        <w:t>Consultant</w:t>
      </w:r>
      <w:r w:rsidRPr="00AB0BC6">
        <w:rPr>
          <w:rFonts w:ascii="Times New Roman" w:hAnsi="Times New Roman" w:cs="Times New Roman"/>
          <w:sz w:val="24"/>
          <w:szCs w:val="24"/>
        </w:rPr>
        <w:t xml:space="preserve"> must exhibit compliance with the qualification standards and evaluation factors stated in Section 287.055, Florida Statutes. </w:t>
      </w:r>
      <w:r>
        <w:rPr>
          <w:rFonts w:ascii="Times New Roman" w:hAnsi="Times New Roman" w:cs="Times New Roman"/>
          <w:sz w:val="24"/>
          <w:szCs w:val="24"/>
        </w:rPr>
        <w:t>Consultants</w:t>
      </w:r>
      <w:r w:rsidRPr="00AB0BC6">
        <w:rPr>
          <w:rFonts w:ascii="Times New Roman" w:hAnsi="Times New Roman" w:cs="Times New Roman"/>
          <w:sz w:val="24"/>
          <w:szCs w:val="24"/>
        </w:rPr>
        <w:t xml:space="preserve"> are advised listing of </w:t>
      </w:r>
      <w:r>
        <w:rPr>
          <w:rFonts w:ascii="Times New Roman" w:hAnsi="Times New Roman" w:cs="Times New Roman"/>
          <w:sz w:val="24"/>
          <w:szCs w:val="24"/>
        </w:rPr>
        <w:t>S</w:t>
      </w:r>
      <w:r w:rsidRPr="00AB0BC6">
        <w:rPr>
          <w:rFonts w:ascii="Times New Roman" w:hAnsi="Times New Roman" w:cs="Times New Roman"/>
          <w:sz w:val="24"/>
          <w:szCs w:val="24"/>
        </w:rPr>
        <w:t>ubcontractors</w:t>
      </w:r>
      <w:r>
        <w:rPr>
          <w:rFonts w:ascii="Times New Roman" w:hAnsi="Times New Roman" w:cs="Times New Roman"/>
          <w:sz w:val="24"/>
          <w:szCs w:val="24"/>
        </w:rPr>
        <w:t>,</w:t>
      </w:r>
      <w:r w:rsidRPr="00AB0BC6">
        <w:rPr>
          <w:rFonts w:ascii="Times New Roman" w:hAnsi="Times New Roman" w:cs="Times New Roman"/>
          <w:sz w:val="24"/>
          <w:szCs w:val="24"/>
        </w:rPr>
        <w:t xml:space="preserve"> and respective percentage of use, are a listed evaluation factor under CCNA. </w:t>
      </w:r>
    </w:p>
    <w:p w14:paraId="7F63C67C" w14:textId="77777777" w:rsidR="003F017B" w:rsidRPr="00AB0BC6" w:rsidRDefault="003F017B" w:rsidP="006C24FF">
      <w:pPr>
        <w:pStyle w:val="ListParagraph"/>
        <w:numPr>
          <w:ilvl w:val="1"/>
          <w:numId w:val="2"/>
        </w:numPr>
        <w:spacing w:after="120" w:line="240" w:lineRule="auto"/>
        <w:ind w:left="540" w:hanging="540"/>
        <w:contextualSpacing w:val="0"/>
        <w:jc w:val="both"/>
        <w:rPr>
          <w:rFonts w:ascii="Times New Roman" w:hAnsi="Times New Roman" w:cs="Times New Roman"/>
          <w:sz w:val="24"/>
          <w:szCs w:val="24"/>
        </w:rPr>
      </w:pPr>
      <w:r>
        <w:rPr>
          <w:rFonts w:ascii="Times New Roman" w:hAnsi="Times New Roman" w:cs="Times New Roman"/>
          <w:sz w:val="24"/>
          <w:szCs w:val="24"/>
        </w:rPr>
        <w:t>Consultant</w:t>
      </w:r>
      <w:r w:rsidRPr="00AB0BC6">
        <w:rPr>
          <w:rFonts w:ascii="Times New Roman" w:hAnsi="Times New Roman" w:cs="Times New Roman"/>
          <w:spacing w:val="-2"/>
          <w:sz w:val="24"/>
          <w:szCs w:val="24"/>
        </w:rPr>
        <w:t xml:space="preserve"> </w:t>
      </w:r>
      <w:r w:rsidRPr="00AB0BC6">
        <w:rPr>
          <w:rFonts w:ascii="Times New Roman" w:hAnsi="Times New Roman" w:cs="Times New Roman"/>
          <w:sz w:val="24"/>
          <w:szCs w:val="24"/>
        </w:rPr>
        <w:t>shall</w:t>
      </w:r>
      <w:r w:rsidRPr="00AB0BC6">
        <w:rPr>
          <w:rFonts w:ascii="Times New Roman" w:hAnsi="Times New Roman" w:cs="Times New Roman"/>
          <w:spacing w:val="-2"/>
          <w:sz w:val="24"/>
          <w:szCs w:val="24"/>
        </w:rPr>
        <w:t xml:space="preserve"> </w:t>
      </w:r>
      <w:r w:rsidRPr="00AB0BC6">
        <w:rPr>
          <w:rFonts w:ascii="Times New Roman" w:hAnsi="Times New Roman" w:cs="Times New Roman"/>
          <w:sz w:val="24"/>
          <w:szCs w:val="24"/>
        </w:rPr>
        <w:t>have experience with</w:t>
      </w:r>
      <w:r w:rsidRPr="00AB0BC6">
        <w:rPr>
          <w:rFonts w:ascii="Times New Roman" w:hAnsi="Times New Roman" w:cs="Times New Roman"/>
          <w:spacing w:val="-1"/>
          <w:sz w:val="24"/>
          <w:szCs w:val="24"/>
        </w:rPr>
        <w:t xml:space="preserve"> </w:t>
      </w:r>
      <w:r w:rsidRPr="00AB0BC6">
        <w:rPr>
          <w:rFonts w:ascii="Times New Roman" w:hAnsi="Times New Roman" w:cs="Times New Roman"/>
          <w:sz w:val="24"/>
          <w:szCs w:val="24"/>
        </w:rPr>
        <w:t>FDOT documentation</w:t>
      </w:r>
      <w:r w:rsidRPr="00AB0BC6">
        <w:rPr>
          <w:rFonts w:ascii="Times New Roman" w:hAnsi="Times New Roman" w:cs="Times New Roman"/>
          <w:spacing w:val="2"/>
          <w:sz w:val="24"/>
          <w:szCs w:val="24"/>
        </w:rPr>
        <w:t xml:space="preserve"> </w:t>
      </w:r>
      <w:r w:rsidRPr="00AB0BC6">
        <w:rPr>
          <w:rFonts w:ascii="Times New Roman" w:hAnsi="Times New Roman" w:cs="Times New Roman"/>
          <w:sz w:val="24"/>
          <w:szCs w:val="24"/>
        </w:rPr>
        <w:t>of</w:t>
      </w:r>
      <w:r w:rsidRPr="00AB0BC6">
        <w:rPr>
          <w:rFonts w:ascii="Times New Roman" w:hAnsi="Times New Roman" w:cs="Times New Roman"/>
          <w:spacing w:val="-2"/>
          <w:sz w:val="24"/>
          <w:szCs w:val="24"/>
        </w:rPr>
        <w:t xml:space="preserve"> </w:t>
      </w:r>
      <w:r w:rsidRPr="00AB0BC6">
        <w:rPr>
          <w:rFonts w:ascii="Times New Roman" w:hAnsi="Times New Roman" w:cs="Times New Roman"/>
          <w:sz w:val="24"/>
          <w:szCs w:val="24"/>
        </w:rPr>
        <w:t>CEI</w:t>
      </w:r>
      <w:r w:rsidRPr="00AB0BC6">
        <w:rPr>
          <w:rFonts w:ascii="Times New Roman" w:hAnsi="Times New Roman" w:cs="Times New Roman"/>
          <w:spacing w:val="-5"/>
          <w:sz w:val="24"/>
          <w:szCs w:val="24"/>
        </w:rPr>
        <w:t xml:space="preserve"> </w:t>
      </w:r>
      <w:r w:rsidRPr="00AB0BC6">
        <w:rPr>
          <w:rFonts w:ascii="Times New Roman" w:hAnsi="Times New Roman" w:cs="Times New Roman"/>
          <w:sz w:val="24"/>
          <w:szCs w:val="24"/>
        </w:rPr>
        <w:t>construction</w:t>
      </w:r>
      <w:r w:rsidRPr="00AB0BC6">
        <w:rPr>
          <w:rFonts w:ascii="Times New Roman" w:hAnsi="Times New Roman" w:cs="Times New Roman"/>
          <w:spacing w:val="-5"/>
          <w:sz w:val="24"/>
          <w:szCs w:val="24"/>
        </w:rPr>
        <w:t xml:space="preserve"> </w:t>
      </w:r>
      <w:r w:rsidRPr="00AB0BC6">
        <w:rPr>
          <w:rFonts w:ascii="Times New Roman" w:hAnsi="Times New Roman" w:cs="Times New Roman"/>
          <w:spacing w:val="-2"/>
          <w:sz w:val="24"/>
          <w:szCs w:val="24"/>
        </w:rPr>
        <w:t>projects.</w:t>
      </w:r>
    </w:p>
    <w:bookmarkEnd w:id="0"/>
    <w:p w14:paraId="4F9D5EEF" w14:textId="77777777" w:rsidR="00BA4DF6" w:rsidRDefault="00BA4DF6" w:rsidP="006C24FF">
      <w:pPr>
        <w:pStyle w:val="ListParagraph"/>
        <w:numPr>
          <w:ilvl w:val="0"/>
          <w:numId w:val="2"/>
        </w:numPr>
        <w:spacing w:after="120" w:line="240" w:lineRule="auto"/>
        <w:ind w:left="0"/>
        <w:contextualSpacing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SCOPE OF WORK</w:t>
      </w:r>
    </w:p>
    <w:p w14:paraId="634FDE26" w14:textId="77777777" w:rsidR="00BA4DF6" w:rsidRPr="0036574E" w:rsidRDefault="00BA4DF6" w:rsidP="006C24FF">
      <w:pPr>
        <w:spacing w:after="120" w:line="240" w:lineRule="auto"/>
        <w:jc w:val="both"/>
        <w:rPr>
          <w:rFonts w:ascii="Times New Roman" w:hAnsi="Times New Roman" w:cs="Times New Roman"/>
          <w:color w:val="000000"/>
          <w:sz w:val="24"/>
          <w:szCs w:val="24"/>
        </w:rPr>
      </w:pPr>
      <w:r w:rsidRPr="0036574E">
        <w:rPr>
          <w:rFonts w:ascii="Times New Roman" w:hAnsi="Times New Roman" w:cs="Times New Roman"/>
          <w:color w:val="000000"/>
          <w:sz w:val="24"/>
          <w:szCs w:val="24"/>
        </w:rPr>
        <w:t>Consultant shall:</w:t>
      </w:r>
    </w:p>
    <w:p w14:paraId="0A0A4428" w14:textId="77777777" w:rsidR="00BA4DF6" w:rsidRPr="00AB0BC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Construction, Engineering, and Inspection (CEI) services, materials testing, and post-design engin</w:t>
      </w:r>
      <w:r w:rsidRPr="00AB0BC6">
        <w:rPr>
          <w:rFonts w:ascii="Times New Roman" w:hAnsi="Times New Roman" w:cs="Times New Roman"/>
          <w:color w:val="000000"/>
          <w:sz w:val="24"/>
          <w:szCs w:val="24"/>
        </w:rPr>
        <w:t xml:space="preserve">eering services for </w:t>
      </w:r>
      <w:r>
        <w:rPr>
          <w:rFonts w:ascii="Times New Roman" w:hAnsi="Times New Roman" w:cs="Times New Roman"/>
          <w:sz w:val="24"/>
          <w:szCs w:val="24"/>
        </w:rPr>
        <w:t>the Projects</w:t>
      </w:r>
      <w:r w:rsidRPr="00AB0BC6">
        <w:rPr>
          <w:rFonts w:ascii="Times New Roman" w:hAnsi="Times New Roman" w:cs="Times New Roman"/>
          <w:color w:val="000000"/>
          <w:sz w:val="24"/>
          <w:szCs w:val="24"/>
        </w:rPr>
        <w:t>.</w:t>
      </w:r>
    </w:p>
    <w:p w14:paraId="46E558AB" w14:textId="322F073D"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Perform construction oversight including the obligation to assure that all verification testing in performed in accordance with the 202</w:t>
      </w:r>
      <w:r w:rsidR="009819E9">
        <w:rPr>
          <w:rFonts w:ascii="Times New Roman" w:hAnsi="Times New Roman" w:cs="Times New Roman"/>
          <w:color w:val="000000"/>
          <w:sz w:val="24"/>
          <w:szCs w:val="24"/>
        </w:rPr>
        <w:t>5-26</w:t>
      </w:r>
      <w:r>
        <w:rPr>
          <w:rFonts w:ascii="Times New Roman" w:hAnsi="Times New Roman" w:cs="Times New Roman"/>
          <w:color w:val="000000"/>
          <w:sz w:val="24"/>
          <w:szCs w:val="24"/>
        </w:rPr>
        <w:t xml:space="preserve"> Standard Specifications for Road and Bridge Construction, as amended.</w:t>
      </w:r>
    </w:p>
    <w:p w14:paraId="6787836B"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inspection services for conformance to Plans and Specifications for all roadway, structures, and specialty items that are being incorporated into the project.</w:t>
      </w:r>
    </w:p>
    <w:p w14:paraId="54C97DE8"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Oversee the project’s Contractor to keep the project on schedule.</w:t>
      </w:r>
    </w:p>
    <w:p w14:paraId="50F0058C"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Coordinate the relocation efforts with all utilities in the project area to include new and relocated lines.</w:t>
      </w:r>
    </w:p>
    <w:p w14:paraId="2311A4A7"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Observe, measure, and record all quantities for payment.</w:t>
      </w:r>
    </w:p>
    <w:p w14:paraId="76E65782"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Record field measurements into project records for renew by the County or auditors. The records will be recorded on a standard form (field book) provided by the Consultant and/or on field inspection forms to be submitted to the County.</w:t>
      </w:r>
    </w:p>
    <w:p w14:paraId="7DB802F2"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Check traffic control daily, and additionally as required or requested.</w:t>
      </w:r>
    </w:p>
    <w:p w14:paraId="1755ED56"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Notify the Contractor of deficiencies or problems immediately.</w:t>
      </w:r>
    </w:p>
    <w:p w14:paraId="567EB39D"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Document weekly (or as often as necessary) project traffic control on forms provided by the Consultant and distribute as required.</w:t>
      </w:r>
    </w:p>
    <w:p w14:paraId="55BD70CA"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Inspect daily erosion control items for conformance to the plans as well as effectiveness in the field.</w:t>
      </w:r>
    </w:p>
    <w:p w14:paraId="5F9CDEA8" w14:textId="77777777" w:rsidR="00BA4DF6" w:rsidRPr="00505B31"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Prepare an accurate daily diary, signed by the inspector, consisting of:</w:t>
      </w:r>
    </w:p>
    <w:p w14:paraId="2016B4BD"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 record of the Contractors on the project and their personnel (number and     classification).</w:t>
      </w:r>
    </w:p>
    <w:p w14:paraId="22208B1B"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Equipment on the project (number and type or size) and movement (arriving or leaving the project), along with idle equipment.</w:t>
      </w:r>
    </w:p>
    <w:p w14:paraId="5585597B"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Location and work performed by each Contractor or Subcontractor.</w:t>
      </w:r>
    </w:p>
    <w:p w14:paraId="77C6B93E"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Orders given to the Contractor.</w:t>
      </w:r>
    </w:p>
    <w:p w14:paraId="1DBD7F81"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Events of note on the project.</w:t>
      </w:r>
    </w:p>
    <w:p w14:paraId="09D134A2"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Accidents on the project and any details surrounding the accident such as police report number, fatalities, causes, time, etc. Obtain a copy of the police report for the project records whenever possible.</w:t>
      </w:r>
    </w:p>
    <w:p w14:paraId="39DCEA3E"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Weather, amount of precipitation, temperature at morning, noon, and evening, cloudy, clear, etc.</w:t>
      </w:r>
    </w:p>
    <w:p w14:paraId="6B13199F"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Days charged, with explanation if not charged.</w:t>
      </w:r>
    </w:p>
    <w:p w14:paraId="56CAE571" w14:textId="77777777" w:rsidR="00BA4DF6"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Any other details that may be important later in the project life.</w:t>
      </w:r>
    </w:p>
    <w:p w14:paraId="40D1037B" w14:textId="77777777" w:rsidR="00BA4DF6" w:rsidRPr="003F0985" w:rsidRDefault="00BA4DF6" w:rsidP="006C24FF">
      <w:pPr>
        <w:pStyle w:val="ListParagraph"/>
        <w:numPr>
          <w:ilvl w:val="2"/>
          <w:numId w:val="2"/>
        </w:numPr>
        <w:spacing w:after="120" w:line="240" w:lineRule="auto"/>
        <w:ind w:left="1440" w:hanging="8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Notify the County’s Project Supervisor prior to withholding payments.</w:t>
      </w:r>
    </w:p>
    <w:p w14:paraId="2D7F60F3"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Provide effective and qualified supervision of all inspection services being conducted by </w:t>
      </w:r>
      <w:proofErr w:type="gramStart"/>
      <w:r>
        <w:rPr>
          <w:rFonts w:ascii="Times New Roman" w:hAnsi="Times New Roman" w:cs="Times New Roman"/>
          <w:color w:val="000000"/>
          <w:sz w:val="24"/>
          <w:szCs w:val="24"/>
        </w:rPr>
        <w:t>Consultant</w:t>
      </w:r>
      <w:proofErr w:type="gramEnd"/>
      <w:r>
        <w:rPr>
          <w:rFonts w:ascii="Times New Roman" w:hAnsi="Times New Roman" w:cs="Times New Roman"/>
          <w:color w:val="000000"/>
          <w:sz w:val="24"/>
          <w:szCs w:val="24"/>
        </w:rPr>
        <w:t xml:space="preserve"> and sub-consultants. All field technicians must be certified in the applicable Florida Department of Transportation (FDOT) certification workshops listed below:</w:t>
      </w:r>
    </w:p>
    <w:p w14:paraId="0AB706E6" w14:textId="77777777" w:rsidR="00BA4DF6" w:rsidRDefault="00BA4DF6" w:rsidP="006C24FF">
      <w:pPr>
        <w:pStyle w:val="ListParagraph"/>
        <w:numPr>
          <w:ilvl w:val="2"/>
          <w:numId w:val="2"/>
        </w:numPr>
        <w:spacing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Asphalt Roadway Paving Inspector</w:t>
      </w:r>
    </w:p>
    <w:p w14:paraId="2A905702" w14:textId="77777777" w:rsidR="00BA4DF6" w:rsidRDefault="00BA4DF6" w:rsidP="006C24FF">
      <w:pPr>
        <w:pStyle w:val="ListParagraph"/>
        <w:numPr>
          <w:ilvl w:val="2"/>
          <w:numId w:val="2"/>
        </w:numPr>
        <w:spacing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Asphalt Plant Inspector</w:t>
      </w:r>
    </w:p>
    <w:p w14:paraId="7E66BD11" w14:textId="77777777" w:rsidR="00BA4DF6" w:rsidRDefault="00BA4DF6" w:rsidP="006C24FF">
      <w:pPr>
        <w:pStyle w:val="ListParagraph"/>
        <w:numPr>
          <w:ilvl w:val="2"/>
          <w:numId w:val="2"/>
        </w:numPr>
        <w:spacing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ACI Class 1 Concrete Technician</w:t>
      </w:r>
    </w:p>
    <w:p w14:paraId="4670311B" w14:textId="77777777" w:rsidR="00BA4DF6" w:rsidRPr="00505B31" w:rsidRDefault="00BA4DF6" w:rsidP="006C24FF">
      <w:pPr>
        <w:pStyle w:val="ListParagraph"/>
        <w:numPr>
          <w:ilvl w:val="2"/>
          <w:numId w:val="2"/>
        </w:numPr>
        <w:spacing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Nuclear Gauge Training</w:t>
      </w:r>
    </w:p>
    <w:p w14:paraId="5918C36E"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a Project Supervisor to be always available in case of an emergency on the project and who will maintain a list of Contractor’s personnel that will be responsible for any occurrence that may arise on the project for the life of the project.</w:t>
      </w:r>
    </w:p>
    <w:p w14:paraId="260E3F02" w14:textId="122CEE7C"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Schedule, prepare the agenda, attend, and conduct a progress meeting every week with Lake County personnel, </w:t>
      </w:r>
      <w:r w:rsidR="00190B57">
        <w:rPr>
          <w:rFonts w:ascii="Times New Roman" w:hAnsi="Times New Roman" w:cs="Times New Roman"/>
          <w:color w:val="000000"/>
          <w:sz w:val="24"/>
          <w:szCs w:val="24"/>
        </w:rPr>
        <w:t>Local government entities</w:t>
      </w:r>
      <w:r>
        <w:rPr>
          <w:rFonts w:ascii="Times New Roman" w:hAnsi="Times New Roman" w:cs="Times New Roman"/>
          <w:color w:val="000000"/>
          <w:sz w:val="24"/>
          <w:szCs w:val="24"/>
        </w:rPr>
        <w:t xml:space="preserve"> personnel, Contractor, sub-Contractors, utility personnel, and other agencies affected by the project during construction. The discussion should include recent progress, upcoming events in the schedule, and problems associated with the </w:t>
      </w:r>
      <w:r>
        <w:rPr>
          <w:rFonts w:ascii="Times New Roman" w:hAnsi="Times New Roman" w:cs="Times New Roman"/>
          <w:color w:val="000000"/>
          <w:sz w:val="24"/>
          <w:szCs w:val="24"/>
        </w:rPr>
        <w:lastRenderedPageBreak/>
        <w:t>project. Record significant information revealed and discussed at the meeting and distribute written minutes to the attendees and appropriate agencies.</w:t>
      </w:r>
    </w:p>
    <w:p w14:paraId="0B9406B9"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Review and sign-off on all shop drawings and submittals.</w:t>
      </w:r>
    </w:p>
    <w:p w14:paraId="48D29643"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written responses to the County and Contractor regarding Contractors’ Request For Information (RFI).</w:t>
      </w:r>
    </w:p>
    <w:p w14:paraId="51DB64E0"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Be available to respond within thirty (30) minutes in emergency situations or attend a meeting with less than a twenty-four (24) hour notice.</w:t>
      </w:r>
    </w:p>
    <w:p w14:paraId="68B9CBBA"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all necessary documents to St. Johns River Water Management District (SJRWMD), throughout permitting and construction process.</w:t>
      </w:r>
    </w:p>
    <w:p w14:paraId="3AC97D0E"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Review and sign-off on the as-builts at project completion and provide certifications to all permitting agencies included SJRWMD and National Pollutant Discharge Elimination Systems (NPDES) permitting.</w:t>
      </w:r>
    </w:p>
    <w:p w14:paraId="5ECF5DCC" w14:textId="1DE2E414"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Maintain an open format communication with the </w:t>
      </w:r>
      <w:r w:rsidR="00190B57">
        <w:rPr>
          <w:rFonts w:ascii="Times New Roman" w:hAnsi="Times New Roman" w:cs="Times New Roman"/>
          <w:color w:val="000000"/>
          <w:sz w:val="24"/>
          <w:szCs w:val="24"/>
        </w:rPr>
        <w:t>Local government entities</w:t>
      </w:r>
      <w:r>
        <w:rPr>
          <w:rFonts w:ascii="Times New Roman" w:hAnsi="Times New Roman" w:cs="Times New Roman"/>
          <w:color w:val="000000"/>
          <w:sz w:val="24"/>
          <w:szCs w:val="24"/>
        </w:rPr>
        <w:t xml:space="preserve"> and their utility Contractors.</w:t>
      </w:r>
    </w:p>
    <w:p w14:paraId="544E4189"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surveying services as needed.</w:t>
      </w:r>
    </w:p>
    <w:p w14:paraId="59350A39"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subsurface Utility Engineering as needed.</w:t>
      </w:r>
    </w:p>
    <w:p w14:paraId="62D6044C"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continuous monitoring and enforcement of Maintenance of Traffic (MOT) plans (with at least one employee has completed the Advanced Maintenance of Traffic Level Training).</w:t>
      </w:r>
    </w:p>
    <w:p w14:paraId="476FBE69"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continuous monitoring and enforcement of the NPDES permit requirements.</w:t>
      </w:r>
    </w:p>
    <w:p w14:paraId="24E8A414"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Prepare for and attend, when requested, any periodic or in-depth County inspection that may be conducted on the project related to project work, progress, or records.</w:t>
      </w:r>
    </w:p>
    <w:p w14:paraId="0BEB5641"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Prepare for, cooperate with, and assist auditors that may be assigned to review project records, payments, reports, etc.</w:t>
      </w:r>
    </w:p>
    <w:p w14:paraId="5E58BDEC"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Monitor Consultant hours worked on the project and justify need for overtime. Prior to starting work, submit to the County Project Supervisor a listing of personnel assigned to the project for revie and approval. In addition, a list of persons with emergency phone numbers should always be supplied to the County and Contractor.</w:t>
      </w:r>
    </w:p>
    <w:p w14:paraId="0D7AFD6D" w14:textId="77777777" w:rsidR="00BA4DF6" w:rsidRDefault="00BA4DF6" w:rsidP="006C24FF">
      <w:pPr>
        <w:pStyle w:val="BodyText"/>
        <w:numPr>
          <w:ilvl w:val="1"/>
          <w:numId w:val="2"/>
        </w:numPr>
        <w:spacing w:after="120"/>
        <w:ind w:left="547" w:hanging="547"/>
        <w:jc w:val="both"/>
      </w:pPr>
      <w:r>
        <w:rPr>
          <w:color w:val="000000"/>
          <w:sz w:val="24"/>
          <w:szCs w:val="24"/>
        </w:rPr>
        <w:t xml:space="preserve">Provide Quality Assurance, Testing for Acceptance, and Training. </w:t>
      </w:r>
      <w:r>
        <w:t>Monitor</w:t>
      </w:r>
      <w:r>
        <w:rPr>
          <w:spacing w:val="-4"/>
        </w:rPr>
        <w:t xml:space="preserve"> </w:t>
      </w:r>
      <w:r>
        <w:t>the</w:t>
      </w:r>
      <w:r>
        <w:rPr>
          <w:spacing w:val="-2"/>
        </w:rPr>
        <w:t xml:space="preserve"> </w:t>
      </w:r>
      <w:r>
        <w:t>testing</w:t>
      </w:r>
      <w:r>
        <w:rPr>
          <w:spacing w:val="-5"/>
        </w:rPr>
        <w:t xml:space="preserve"> </w:t>
      </w:r>
      <w:r>
        <w:t>provided by</w:t>
      </w:r>
      <w:r>
        <w:rPr>
          <w:spacing w:val="-5"/>
        </w:rPr>
        <w:t xml:space="preserve"> </w:t>
      </w:r>
      <w:r>
        <w:t>the</w:t>
      </w:r>
      <w:r>
        <w:rPr>
          <w:spacing w:val="-2"/>
        </w:rPr>
        <w:t xml:space="preserve"> </w:t>
      </w:r>
      <w:r>
        <w:t>Contractor</w:t>
      </w:r>
      <w:r>
        <w:rPr>
          <w:spacing w:val="-4"/>
        </w:rPr>
        <w:t xml:space="preserve"> </w:t>
      </w:r>
      <w:r>
        <w:t>in the field as defined in the Contract, Plans or Specifications. Document Consultant testing on standard FDOT type forms</w:t>
      </w:r>
      <w:r>
        <w:rPr>
          <w:spacing w:val="-4"/>
        </w:rPr>
        <w:t xml:space="preserve"> </w:t>
      </w:r>
      <w:r>
        <w:t>and</w:t>
      </w:r>
      <w:r>
        <w:rPr>
          <w:spacing w:val="-7"/>
        </w:rPr>
        <w:t xml:space="preserve"> </w:t>
      </w:r>
      <w:r>
        <w:t>distribute</w:t>
      </w:r>
      <w:r>
        <w:rPr>
          <w:spacing w:val="-7"/>
        </w:rPr>
        <w:t xml:space="preserve"> </w:t>
      </w:r>
      <w:r>
        <w:t>as</w:t>
      </w:r>
      <w:r>
        <w:rPr>
          <w:spacing w:val="-4"/>
        </w:rPr>
        <w:t xml:space="preserve"> </w:t>
      </w:r>
      <w:r>
        <w:t>required.</w:t>
      </w:r>
      <w:r>
        <w:rPr>
          <w:spacing w:val="-7"/>
        </w:rPr>
        <w:t xml:space="preserve"> </w:t>
      </w:r>
      <w:r>
        <w:t>Monitor</w:t>
      </w:r>
      <w:r>
        <w:rPr>
          <w:spacing w:val="-4"/>
        </w:rPr>
        <w:t xml:space="preserve"> </w:t>
      </w:r>
      <w:r>
        <w:t>documentation</w:t>
      </w:r>
      <w:r>
        <w:rPr>
          <w:spacing w:val="-5"/>
        </w:rPr>
        <w:t xml:space="preserve"> </w:t>
      </w:r>
      <w:r>
        <w:t>of</w:t>
      </w:r>
      <w:r>
        <w:rPr>
          <w:spacing w:val="-6"/>
        </w:rPr>
        <w:t xml:space="preserve"> </w:t>
      </w:r>
      <w:r>
        <w:t>testing</w:t>
      </w:r>
      <w:r>
        <w:rPr>
          <w:spacing w:val="-7"/>
        </w:rPr>
        <w:t xml:space="preserve"> </w:t>
      </w:r>
      <w:r>
        <w:t>by</w:t>
      </w:r>
      <w:r>
        <w:rPr>
          <w:spacing w:val="-7"/>
        </w:rPr>
        <w:t xml:space="preserve"> </w:t>
      </w:r>
      <w:r>
        <w:t>the</w:t>
      </w:r>
      <w:r>
        <w:rPr>
          <w:spacing w:val="-4"/>
        </w:rPr>
        <w:t xml:space="preserve"> </w:t>
      </w:r>
      <w:r>
        <w:t>Contractor.</w:t>
      </w:r>
      <w:r>
        <w:rPr>
          <w:spacing w:val="-5"/>
        </w:rPr>
        <w:t xml:space="preserve"> </w:t>
      </w:r>
      <w:r>
        <w:t>Field</w:t>
      </w:r>
      <w:r>
        <w:rPr>
          <w:spacing w:val="-7"/>
        </w:rPr>
        <w:t xml:space="preserve"> </w:t>
      </w:r>
      <w:r>
        <w:t>testing</w:t>
      </w:r>
      <w:r>
        <w:rPr>
          <w:spacing w:val="-7"/>
        </w:rPr>
        <w:t xml:space="preserve"> </w:t>
      </w:r>
      <w:r>
        <w:t>by</w:t>
      </w:r>
      <w:r>
        <w:rPr>
          <w:spacing w:val="-7"/>
        </w:rPr>
        <w:t xml:space="preserve"> </w:t>
      </w:r>
      <w:r>
        <w:t>the</w:t>
      </w:r>
      <w:r>
        <w:rPr>
          <w:spacing w:val="-4"/>
        </w:rPr>
        <w:t xml:space="preserve"> </w:t>
      </w:r>
      <w:r>
        <w:t>Consultant includes,</w:t>
      </w:r>
      <w:r>
        <w:rPr>
          <w:spacing w:val="-14"/>
        </w:rPr>
        <w:t xml:space="preserve"> </w:t>
      </w:r>
      <w:r>
        <w:t>but</w:t>
      </w:r>
      <w:r>
        <w:rPr>
          <w:spacing w:val="-14"/>
        </w:rPr>
        <w:t xml:space="preserve"> </w:t>
      </w:r>
      <w:r>
        <w:t>is</w:t>
      </w:r>
      <w:r>
        <w:rPr>
          <w:spacing w:val="-14"/>
        </w:rPr>
        <w:t xml:space="preserve"> </w:t>
      </w:r>
      <w:r>
        <w:t>not</w:t>
      </w:r>
      <w:r>
        <w:rPr>
          <w:spacing w:val="-13"/>
        </w:rPr>
        <w:t xml:space="preserve"> </w:t>
      </w:r>
      <w:r>
        <w:t>limited</w:t>
      </w:r>
      <w:r>
        <w:rPr>
          <w:spacing w:val="-14"/>
        </w:rPr>
        <w:t xml:space="preserve"> </w:t>
      </w:r>
      <w:r>
        <w:t>to,</w:t>
      </w:r>
      <w:r>
        <w:rPr>
          <w:spacing w:val="-14"/>
        </w:rPr>
        <w:t xml:space="preserve"> </w:t>
      </w:r>
      <w:r>
        <w:t>all</w:t>
      </w:r>
      <w:r>
        <w:rPr>
          <w:spacing w:val="-14"/>
        </w:rPr>
        <w:t xml:space="preserve"> </w:t>
      </w:r>
      <w:r>
        <w:t>ACI</w:t>
      </w:r>
      <w:r>
        <w:rPr>
          <w:spacing w:val="-13"/>
        </w:rPr>
        <w:t xml:space="preserve"> </w:t>
      </w:r>
      <w:r>
        <w:t>tests</w:t>
      </w:r>
      <w:r>
        <w:rPr>
          <w:spacing w:val="-14"/>
        </w:rPr>
        <w:t xml:space="preserve"> </w:t>
      </w:r>
      <w:r>
        <w:t>for</w:t>
      </w:r>
      <w:r>
        <w:rPr>
          <w:spacing w:val="-14"/>
        </w:rPr>
        <w:t xml:space="preserve"> </w:t>
      </w:r>
      <w:r>
        <w:t>concrete</w:t>
      </w:r>
      <w:r>
        <w:rPr>
          <w:spacing w:val="-14"/>
        </w:rPr>
        <w:t xml:space="preserve"> </w:t>
      </w:r>
      <w:r>
        <w:t>including</w:t>
      </w:r>
      <w:r>
        <w:rPr>
          <w:spacing w:val="-13"/>
        </w:rPr>
        <w:t xml:space="preserve"> </w:t>
      </w:r>
      <w:r>
        <w:t>concrete</w:t>
      </w:r>
      <w:r>
        <w:rPr>
          <w:spacing w:val="-14"/>
        </w:rPr>
        <w:t xml:space="preserve"> </w:t>
      </w:r>
      <w:r>
        <w:t>plant</w:t>
      </w:r>
      <w:r>
        <w:rPr>
          <w:spacing w:val="-14"/>
        </w:rPr>
        <w:t xml:space="preserve"> </w:t>
      </w:r>
      <w:r>
        <w:t>for</w:t>
      </w:r>
      <w:r>
        <w:rPr>
          <w:spacing w:val="-14"/>
        </w:rPr>
        <w:t xml:space="preserve"> </w:t>
      </w:r>
      <w:r>
        <w:t>acceptance</w:t>
      </w:r>
      <w:r>
        <w:rPr>
          <w:spacing w:val="-13"/>
        </w:rPr>
        <w:t xml:space="preserve"> </w:t>
      </w:r>
      <w:r>
        <w:t>by</w:t>
      </w:r>
      <w:r>
        <w:rPr>
          <w:spacing w:val="-14"/>
        </w:rPr>
        <w:t xml:space="preserve"> </w:t>
      </w:r>
      <w:r>
        <w:t>the</w:t>
      </w:r>
      <w:r>
        <w:rPr>
          <w:spacing w:val="-14"/>
        </w:rPr>
        <w:t xml:space="preserve"> </w:t>
      </w:r>
      <w:r>
        <w:t>County,</w:t>
      </w:r>
      <w:r>
        <w:rPr>
          <w:spacing w:val="-14"/>
        </w:rPr>
        <w:t xml:space="preserve"> </w:t>
      </w:r>
      <w:r>
        <w:t>nuclear density testing of earthwork, base stone, asphalt, structural backfill, and pipe backfill as defined in the Standard Specifications</w:t>
      </w:r>
      <w:r>
        <w:rPr>
          <w:spacing w:val="-16"/>
        </w:rPr>
        <w:t xml:space="preserve"> </w:t>
      </w:r>
      <w:r>
        <w:t>and</w:t>
      </w:r>
      <w:r>
        <w:rPr>
          <w:spacing w:val="-14"/>
        </w:rPr>
        <w:t xml:space="preserve"> </w:t>
      </w:r>
      <w:r>
        <w:t>the</w:t>
      </w:r>
      <w:r>
        <w:rPr>
          <w:spacing w:val="-14"/>
        </w:rPr>
        <w:t xml:space="preserve"> </w:t>
      </w:r>
      <w:r>
        <w:t>County’s</w:t>
      </w:r>
      <w:r>
        <w:rPr>
          <w:spacing w:val="-13"/>
        </w:rPr>
        <w:t xml:space="preserve"> </w:t>
      </w:r>
      <w:r>
        <w:t>sampling</w:t>
      </w:r>
      <w:r>
        <w:rPr>
          <w:spacing w:val="-14"/>
        </w:rPr>
        <w:t xml:space="preserve"> </w:t>
      </w:r>
      <w:r>
        <w:t>and</w:t>
      </w:r>
      <w:r>
        <w:rPr>
          <w:spacing w:val="-14"/>
        </w:rPr>
        <w:t xml:space="preserve"> </w:t>
      </w:r>
      <w:r>
        <w:t>testing</w:t>
      </w:r>
      <w:r>
        <w:rPr>
          <w:spacing w:val="-14"/>
        </w:rPr>
        <w:t xml:space="preserve"> </w:t>
      </w:r>
      <w:r>
        <w:t>schedule</w:t>
      </w:r>
      <w:r>
        <w:rPr>
          <w:spacing w:val="-13"/>
        </w:rPr>
        <w:t xml:space="preserve"> </w:t>
      </w:r>
      <w:r>
        <w:t>attached</w:t>
      </w:r>
      <w:r>
        <w:rPr>
          <w:spacing w:val="-14"/>
        </w:rPr>
        <w:t xml:space="preserve"> </w:t>
      </w:r>
      <w:r>
        <w:t>as</w:t>
      </w:r>
      <w:r>
        <w:rPr>
          <w:spacing w:val="-14"/>
        </w:rPr>
        <w:t xml:space="preserve"> </w:t>
      </w:r>
      <w:r>
        <w:t>Exhibit</w:t>
      </w:r>
      <w:r>
        <w:rPr>
          <w:spacing w:val="-14"/>
        </w:rPr>
        <w:t xml:space="preserve"> </w:t>
      </w:r>
      <w:r>
        <w:t>A.</w:t>
      </w:r>
      <w:r>
        <w:rPr>
          <w:spacing w:val="-13"/>
        </w:rPr>
        <w:t xml:space="preserve"> </w:t>
      </w:r>
      <w:r>
        <w:t>The</w:t>
      </w:r>
      <w:r>
        <w:rPr>
          <w:spacing w:val="-14"/>
        </w:rPr>
        <w:t xml:space="preserve"> </w:t>
      </w:r>
      <w:r>
        <w:t>Consultant</w:t>
      </w:r>
      <w:r>
        <w:rPr>
          <w:spacing w:val="-14"/>
        </w:rPr>
        <w:t xml:space="preserve"> </w:t>
      </w:r>
      <w:r>
        <w:t>will</w:t>
      </w:r>
      <w:r>
        <w:rPr>
          <w:spacing w:val="-14"/>
        </w:rPr>
        <w:t xml:space="preserve"> </w:t>
      </w:r>
      <w:r>
        <w:t>also</w:t>
      </w:r>
      <w:r>
        <w:rPr>
          <w:spacing w:val="-13"/>
        </w:rPr>
        <w:t xml:space="preserve"> </w:t>
      </w:r>
      <w:r>
        <w:t>provide aggregate</w:t>
      </w:r>
      <w:r>
        <w:rPr>
          <w:spacing w:val="-7"/>
        </w:rPr>
        <w:t xml:space="preserve"> </w:t>
      </w:r>
      <w:r>
        <w:t>analysis</w:t>
      </w:r>
      <w:r>
        <w:rPr>
          <w:spacing w:val="-6"/>
        </w:rPr>
        <w:t xml:space="preserve"> </w:t>
      </w:r>
      <w:r>
        <w:t>and</w:t>
      </w:r>
      <w:r>
        <w:rPr>
          <w:spacing w:val="-7"/>
        </w:rPr>
        <w:t xml:space="preserve"> </w:t>
      </w:r>
      <w:r>
        <w:t>moisture</w:t>
      </w:r>
      <w:r>
        <w:rPr>
          <w:spacing w:val="-9"/>
        </w:rPr>
        <w:t xml:space="preserve"> </w:t>
      </w:r>
      <w:r>
        <w:t>testing</w:t>
      </w:r>
      <w:r>
        <w:rPr>
          <w:spacing w:val="-10"/>
        </w:rPr>
        <w:t xml:space="preserve"> </w:t>
      </w:r>
      <w:r>
        <w:t>for</w:t>
      </w:r>
      <w:r>
        <w:rPr>
          <w:spacing w:val="-9"/>
        </w:rPr>
        <w:t xml:space="preserve"> </w:t>
      </w:r>
      <w:r>
        <w:t>roadway</w:t>
      </w:r>
      <w:r>
        <w:rPr>
          <w:spacing w:val="-10"/>
        </w:rPr>
        <w:t xml:space="preserve"> </w:t>
      </w:r>
      <w:r>
        <w:t>embankment</w:t>
      </w:r>
      <w:r>
        <w:rPr>
          <w:spacing w:val="-6"/>
        </w:rPr>
        <w:t xml:space="preserve"> </w:t>
      </w:r>
      <w:r>
        <w:t>and</w:t>
      </w:r>
      <w:r>
        <w:rPr>
          <w:spacing w:val="-9"/>
        </w:rPr>
        <w:t xml:space="preserve"> </w:t>
      </w:r>
      <w:r>
        <w:t>base</w:t>
      </w:r>
      <w:r>
        <w:rPr>
          <w:spacing w:val="-7"/>
        </w:rPr>
        <w:t xml:space="preserve"> </w:t>
      </w:r>
      <w:r>
        <w:t>stone</w:t>
      </w:r>
      <w:r>
        <w:rPr>
          <w:spacing w:val="-9"/>
        </w:rPr>
        <w:t xml:space="preserve"> </w:t>
      </w:r>
      <w:r>
        <w:t>materials</w:t>
      </w:r>
      <w:r>
        <w:rPr>
          <w:spacing w:val="-9"/>
        </w:rPr>
        <w:t xml:space="preserve"> </w:t>
      </w:r>
      <w:r>
        <w:t>as</w:t>
      </w:r>
      <w:r>
        <w:rPr>
          <w:spacing w:val="-9"/>
        </w:rPr>
        <w:t xml:space="preserve"> </w:t>
      </w:r>
      <w:r>
        <w:t>defined</w:t>
      </w:r>
      <w:r>
        <w:rPr>
          <w:spacing w:val="-7"/>
        </w:rPr>
        <w:t xml:space="preserve"> </w:t>
      </w:r>
      <w:r>
        <w:t>in</w:t>
      </w:r>
      <w:r>
        <w:rPr>
          <w:spacing w:val="-10"/>
        </w:rPr>
        <w:t xml:space="preserve"> </w:t>
      </w:r>
      <w:r>
        <w:t>the</w:t>
      </w:r>
      <w:r>
        <w:rPr>
          <w:spacing w:val="-9"/>
        </w:rPr>
        <w:t xml:space="preserve"> </w:t>
      </w:r>
      <w:r>
        <w:t>Standard Specifications and</w:t>
      </w:r>
      <w:r>
        <w:rPr>
          <w:spacing w:val="-1"/>
        </w:rPr>
        <w:t xml:space="preserve"> </w:t>
      </w:r>
      <w:r>
        <w:t>the County’s sampling</w:t>
      </w:r>
      <w:r>
        <w:rPr>
          <w:spacing w:val="-2"/>
        </w:rPr>
        <w:t xml:space="preserve"> </w:t>
      </w:r>
      <w:r>
        <w:t>and testing</w:t>
      </w:r>
      <w:r>
        <w:rPr>
          <w:spacing w:val="-2"/>
        </w:rPr>
        <w:t xml:space="preserve"> </w:t>
      </w:r>
      <w:r>
        <w:t>schedule. Also included as the responsibility</w:t>
      </w:r>
      <w:r>
        <w:rPr>
          <w:spacing w:val="-2"/>
        </w:rPr>
        <w:t xml:space="preserve"> </w:t>
      </w:r>
      <w:r>
        <w:t>of the consultant is miscellaneous checking of application rates and dimensions and bearings to assure conformance to Plans and Specifications.</w:t>
      </w:r>
      <w:r>
        <w:rPr>
          <w:spacing w:val="-4"/>
        </w:rPr>
        <w:t xml:space="preserve"> </w:t>
      </w:r>
      <w:r>
        <w:t>In</w:t>
      </w:r>
      <w:r>
        <w:rPr>
          <w:spacing w:val="-5"/>
        </w:rPr>
        <w:t xml:space="preserve"> </w:t>
      </w:r>
      <w:r>
        <w:t>case</w:t>
      </w:r>
      <w:r>
        <w:rPr>
          <w:spacing w:val="-4"/>
        </w:rPr>
        <w:t xml:space="preserve"> </w:t>
      </w:r>
      <w:r>
        <w:t>of</w:t>
      </w:r>
      <w:r>
        <w:rPr>
          <w:spacing w:val="-4"/>
        </w:rPr>
        <w:t xml:space="preserve"> </w:t>
      </w:r>
      <w:r>
        <w:t>notification</w:t>
      </w:r>
      <w:r>
        <w:rPr>
          <w:spacing w:val="-5"/>
        </w:rPr>
        <w:t xml:space="preserve"> </w:t>
      </w:r>
      <w:r>
        <w:t>of</w:t>
      </w:r>
      <w:r>
        <w:rPr>
          <w:spacing w:val="-4"/>
        </w:rPr>
        <w:t xml:space="preserve"> </w:t>
      </w:r>
      <w:r>
        <w:t>defective</w:t>
      </w:r>
      <w:r>
        <w:rPr>
          <w:spacing w:val="-4"/>
        </w:rPr>
        <w:t xml:space="preserve"> </w:t>
      </w:r>
      <w:r>
        <w:t>concrete,</w:t>
      </w:r>
      <w:r>
        <w:rPr>
          <w:spacing w:val="-4"/>
        </w:rPr>
        <w:t xml:space="preserve"> </w:t>
      </w:r>
      <w:r>
        <w:t>asphalt or</w:t>
      </w:r>
      <w:r>
        <w:rPr>
          <w:spacing w:val="-4"/>
        </w:rPr>
        <w:t xml:space="preserve"> </w:t>
      </w:r>
      <w:r>
        <w:t>other</w:t>
      </w:r>
      <w:r>
        <w:rPr>
          <w:spacing w:val="-4"/>
        </w:rPr>
        <w:t xml:space="preserve"> </w:t>
      </w:r>
      <w:r>
        <w:t>product</w:t>
      </w:r>
      <w:r>
        <w:rPr>
          <w:spacing w:val="-4"/>
        </w:rPr>
        <w:t xml:space="preserve"> </w:t>
      </w:r>
      <w:r>
        <w:t>as</w:t>
      </w:r>
      <w:r>
        <w:rPr>
          <w:spacing w:val="-4"/>
        </w:rPr>
        <w:t xml:space="preserve"> </w:t>
      </w:r>
      <w:r>
        <w:t>defined</w:t>
      </w:r>
      <w:r>
        <w:rPr>
          <w:spacing w:val="-4"/>
        </w:rPr>
        <w:t xml:space="preserve"> </w:t>
      </w:r>
      <w:r>
        <w:t>in</w:t>
      </w:r>
      <w:r>
        <w:rPr>
          <w:spacing w:val="-5"/>
        </w:rPr>
        <w:t xml:space="preserve"> </w:t>
      </w:r>
      <w:r>
        <w:t>the</w:t>
      </w:r>
      <w:r>
        <w:rPr>
          <w:spacing w:val="-4"/>
        </w:rPr>
        <w:t xml:space="preserve"> </w:t>
      </w:r>
      <w:r>
        <w:t>Specifications, the Consultant will submit the initial information on forms provided by the Consultant and receive the final disposition of the material after review. Certifications of material submitted by the Contractor will be reviewed by the</w:t>
      </w:r>
      <w:r>
        <w:rPr>
          <w:spacing w:val="-6"/>
        </w:rPr>
        <w:t xml:space="preserve"> </w:t>
      </w:r>
      <w:r>
        <w:t>Consultant</w:t>
      </w:r>
      <w:r>
        <w:rPr>
          <w:spacing w:val="-5"/>
        </w:rPr>
        <w:t xml:space="preserve"> </w:t>
      </w:r>
      <w:r>
        <w:t>for</w:t>
      </w:r>
      <w:r>
        <w:rPr>
          <w:spacing w:val="-5"/>
        </w:rPr>
        <w:t xml:space="preserve"> </w:t>
      </w:r>
      <w:r>
        <w:t>conformity</w:t>
      </w:r>
      <w:r>
        <w:rPr>
          <w:spacing w:val="-9"/>
        </w:rPr>
        <w:t xml:space="preserve"> </w:t>
      </w:r>
      <w:r>
        <w:t>to</w:t>
      </w:r>
      <w:r>
        <w:rPr>
          <w:spacing w:val="-6"/>
        </w:rPr>
        <w:t xml:space="preserve"> </w:t>
      </w:r>
      <w:r>
        <w:t>the</w:t>
      </w:r>
      <w:r>
        <w:rPr>
          <w:spacing w:val="-6"/>
        </w:rPr>
        <w:t xml:space="preserve"> </w:t>
      </w:r>
      <w:r>
        <w:t>Specifications.</w:t>
      </w:r>
      <w:r>
        <w:rPr>
          <w:spacing w:val="-8"/>
        </w:rPr>
        <w:t xml:space="preserve"> </w:t>
      </w:r>
      <w:r>
        <w:t>The</w:t>
      </w:r>
      <w:r>
        <w:rPr>
          <w:spacing w:val="-6"/>
        </w:rPr>
        <w:t xml:space="preserve"> </w:t>
      </w:r>
      <w:r>
        <w:t>certification</w:t>
      </w:r>
      <w:r>
        <w:rPr>
          <w:spacing w:val="-9"/>
        </w:rPr>
        <w:t xml:space="preserve"> </w:t>
      </w:r>
      <w:r>
        <w:t>documents</w:t>
      </w:r>
      <w:r>
        <w:rPr>
          <w:spacing w:val="-5"/>
        </w:rPr>
        <w:t xml:space="preserve"> </w:t>
      </w:r>
      <w:r>
        <w:t>submitted</w:t>
      </w:r>
      <w:r>
        <w:rPr>
          <w:spacing w:val="-8"/>
        </w:rPr>
        <w:t xml:space="preserve"> </w:t>
      </w:r>
      <w:r>
        <w:t>to</w:t>
      </w:r>
      <w:r>
        <w:rPr>
          <w:spacing w:val="-6"/>
        </w:rPr>
        <w:t xml:space="preserve"> </w:t>
      </w:r>
      <w:r>
        <w:t>the</w:t>
      </w:r>
      <w:r>
        <w:rPr>
          <w:spacing w:val="-6"/>
        </w:rPr>
        <w:t xml:space="preserve"> </w:t>
      </w:r>
      <w:r>
        <w:t>County</w:t>
      </w:r>
      <w:r>
        <w:rPr>
          <w:spacing w:val="-9"/>
        </w:rPr>
        <w:t xml:space="preserve"> </w:t>
      </w:r>
      <w:r>
        <w:t>will</w:t>
      </w:r>
      <w:r>
        <w:rPr>
          <w:spacing w:val="-7"/>
        </w:rPr>
        <w:t xml:space="preserve"> </w:t>
      </w:r>
      <w:r>
        <w:t>also</w:t>
      </w:r>
      <w:r>
        <w:rPr>
          <w:spacing w:val="-5"/>
        </w:rPr>
        <w:t xml:space="preserve"> </w:t>
      </w:r>
      <w:r>
        <w:t>be reviewed for completeness and conformance to the County’s standard form of submission. A Final Materials and Tests Certification will be submitted to the Materials and Tests Manager with the Final Records.</w:t>
      </w:r>
    </w:p>
    <w:p w14:paraId="4258E749"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Review Progress Payments: The Consultant shall review and document accurate quantities for Monthly Progress Payments from the prime Contractor based on actual project field records. The quantities for payment shall be referenced to field records prior to submission to the County for payment. Test reports will be on file prior to payment. The County Project Supervisor must approve any waiver of testing documents prior to payment. Pay quantities will be submitted to the County Project Supervisor for review and payment.</w:t>
      </w:r>
    </w:p>
    <w:p w14:paraId="67ADA732"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Review Revisions to the Contract Plans: Anu revisions to the Contract plans or cross section shall be submitted to the County Project Supervisor for processing.</w:t>
      </w:r>
    </w:p>
    <w:p w14:paraId="0BF4148A"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Submit to the County Project Supervisor a copy of all correspondence between the Consultant, Contractor, Subcontractors, or others concerning matters related to the project and maintain an office file copy of submission with the project Final Records.</w:t>
      </w:r>
    </w:p>
    <w:p w14:paraId="2DC4B0C6"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Submit a compilation of Final Project records in the FDOT standard format to the County after project completion. Make corrections when/if notified and resubmit the records and the consultant’s final pay estimate for the project at the appropriate time. Submit all final forms with the final records. Coordinate Consultant hours after the project completion with the County Project Supervisor for approval.</w:t>
      </w:r>
    </w:p>
    <w:p w14:paraId="6DBE7012"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Prepare documentation and assist in the defense of the County, when requested, in preparation for claims or possible claims resulting in the execution of the contract.</w:t>
      </w:r>
    </w:p>
    <w:p w14:paraId="3DDE6211" w14:textId="4D293034"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Provide designated materials testing laboratory by a certified FDOT Laboratory for all applicable testing requirements</w:t>
      </w:r>
      <w:r w:rsidR="00D84DAE">
        <w:rPr>
          <w:rFonts w:ascii="Times New Roman" w:hAnsi="Times New Roman" w:cs="Times New Roman"/>
          <w:color w:val="000000"/>
          <w:sz w:val="24"/>
          <w:szCs w:val="24"/>
        </w:rPr>
        <w:t xml:space="preserve"> (See Section 5.0)</w:t>
      </w:r>
      <w:r>
        <w:rPr>
          <w:rFonts w:ascii="Times New Roman" w:hAnsi="Times New Roman" w:cs="Times New Roman"/>
          <w:color w:val="000000"/>
          <w:sz w:val="24"/>
          <w:szCs w:val="24"/>
        </w:rPr>
        <w:t>. All materials must meet FDOT specifications. Monitoring the testing to ensure all requirements are met.</w:t>
      </w:r>
    </w:p>
    <w:p w14:paraId="17650603"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Communicate on all levels of project personnel, from field inspectors striving to resolve issues at the lowest level possible and escalating, if necessary, to senior management staff. Phone and email will be the main forms of communication on a daily basis. The Consultant will distribute meeting minutes after each project progress meeting and pre-activities meetings. Lake County and firm will conduct weekly staff meetings for the project communication and utilize email and conference calls, as needed. Communication with the Contractor will take the form of weekly project progress meetings, pre-activity meetings, phone calls, e-mails, and face-to-face discussions.</w:t>
      </w:r>
    </w:p>
    <w:p w14:paraId="19A460C8" w14:textId="77777777" w:rsidR="00BA4DF6" w:rsidRDefault="00BA4DF6"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Ensure the Contractor’s </w:t>
      </w:r>
      <w:r w:rsidRPr="00AB0BC6">
        <w:rPr>
          <w:rFonts w:ascii="Times New Roman" w:hAnsi="Times New Roman" w:cs="Times New Roman"/>
          <w:color w:val="000000"/>
          <w:sz w:val="24"/>
          <w:szCs w:val="24"/>
        </w:rPr>
        <w:t>CPM</w:t>
      </w:r>
      <w:r>
        <w:rPr>
          <w:rFonts w:ascii="Times New Roman" w:hAnsi="Times New Roman" w:cs="Times New Roman"/>
          <w:color w:val="000000"/>
          <w:sz w:val="24"/>
          <w:szCs w:val="24"/>
        </w:rPr>
        <w:t xml:space="preserve"> schedule is developed, implemented, and updated per the contract. Maximize MOT by coordinating with any active construction operations potentially impacting the project. Develop and review the emergency response plan during the construction phase and coordinating with the County’s plan.</w:t>
      </w:r>
    </w:p>
    <w:p w14:paraId="7B6E3957" w14:textId="77777777"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 xml:space="preserve">On-site Inspection: CEI Contractor will assist the COUNTY as needed to monitor the Road Contractor's significant on-site construction activities and inspect materials entering into the work in accordance with the plans, specifications, and special provisions for the Construction Contract to determine that the project is constructed in reasonable conformity with such documents. </w:t>
      </w:r>
    </w:p>
    <w:p w14:paraId="4E9ABDC2" w14:textId="77777777"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The COUNTY shall keep detailed accurate records of the Contractor's daily operations and of significant events that affect the work. The COUNTY shall be responsible for monitoring and inspection of Contractor's Work Zone Traffic Control Plan and review of modifications to the Work Zone Traffic Control Plan, including Alternate Work Zone Traffic Control Plan, in accordance with COUNTY's procedures. Contractor may assist the COUNTY and employees performing such services shall be qualified in accordance with the Department's procedure.</w:t>
      </w:r>
    </w:p>
    <w:p w14:paraId="216E9EC2" w14:textId="77777777"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lastRenderedPageBreak/>
        <w:t>Sampling and Testing: Contractor shall perform verification sampling and testing of component materials and completed work in accordance with the Construction Contract documents. The minimum sampling frequencies set out in the Department's Materials Sampling, Testing and Reporting Guide and/or The COUNTY specifications shall be met. While onsite Contractor shall provide daily surveillance of the Contractor's Quality Control activities at the project site and perform the sampling and testing of materials and completed work items that are normally done in the vicinity of the project for verification. Contractor shall be specifically responsible for job control samples determining the acceptability of all materials and completed work items on the basis of either test results or verification of a certification, certified mill analysis, FDOT label, FDOT stamp, etc. Sampling, testing and laboratory methods shall be as required by the COUNTY's Standard Specifications, Supplemental Specifications or as modified by the Special Provisions of the Construction Contract. Documentation reports on sampling and testing performed by Contractor shall be submitted to responsible parties during the same week that the construction work is done, Contractor will furnish all acceptance testing information and data to the COUNTY in an acceptable format.</w:t>
      </w:r>
    </w:p>
    <w:p w14:paraId="2BCD45CE" w14:textId="77777777"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Engineering Services: Engineering services include maintaining the required level of surveillance of Contractor activities, interpreting plans, specifications, and special provisions of the Construction Contract, maintaining complete, accurate records of all activities and events relating to the project, and properly documenting all significant project changes. Contractor shall perform; but, not be limited to the following services:</w:t>
      </w:r>
    </w:p>
    <w:p w14:paraId="7CFBB4B1" w14:textId="77777777"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Assist the COUNTY with the preparation of the pre-construction meeting(s) and attend pre- construction meeting(s) with the Contractor and COUNTY.</w:t>
      </w:r>
    </w:p>
    <w:p w14:paraId="5F4FE7BB" w14:textId="77777777"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Coordinate the relocation efforts with all utilities located in the project area. Schedule and take the lead on bi-weekly progress meetings during construction.</w:t>
      </w:r>
    </w:p>
    <w:p w14:paraId="36CC5AF2" w14:textId="4421A112"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Provide written responses to the COUNTY regarding contractors’ requests for information</w:t>
      </w:r>
      <w:r w:rsidR="000B130B" w:rsidRPr="000B130B">
        <w:rPr>
          <w:rFonts w:ascii="Times New Roman" w:hAnsi="Times New Roman" w:cs="Times New Roman"/>
          <w:color w:val="000000"/>
          <w:sz w:val="24"/>
          <w:szCs w:val="24"/>
        </w:rPr>
        <w:t xml:space="preserve"> </w:t>
      </w:r>
      <w:r w:rsidRPr="000B130B">
        <w:rPr>
          <w:rFonts w:ascii="Times New Roman" w:hAnsi="Times New Roman" w:cs="Times New Roman"/>
          <w:color w:val="000000"/>
          <w:sz w:val="24"/>
          <w:szCs w:val="24"/>
        </w:rPr>
        <w:t>(RFI).</w:t>
      </w:r>
    </w:p>
    <w:p w14:paraId="58C9D466" w14:textId="77777777" w:rsidR="00B470A1" w:rsidRPr="000B130B"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Make site visits to answer field questions or to make necessary field adjustments. Review and sign off on the as-builts at project completion.</w:t>
      </w:r>
    </w:p>
    <w:p w14:paraId="51E628C4" w14:textId="77777777" w:rsidR="00B470A1" w:rsidRDefault="00B470A1" w:rsidP="006C24FF">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0B130B">
        <w:rPr>
          <w:rFonts w:ascii="Times New Roman" w:hAnsi="Times New Roman" w:cs="Times New Roman"/>
          <w:color w:val="000000"/>
          <w:sz w:val="24"/>
          <w:szCs w:val="24"/>
        </w:rPr>
        <w:t>Provide close out documents to satisfy FDOT Local Agency Agreement. Clear applicable water management permits.</w:t>
      </w:r>
    </w:p>
    <w:p w14:paraId="51A44623" w14:textId="0E99C7AD" w:rsidR="00D84DAE" w:rsidRPr="006C24FF" w:rsidRDefault="00D84DAE" w:rsidP="006C24FF">
      <w:pPr>
        <w:pStyle w:val="ListParagraph"/>
        <w:numPr>
          <w:ilvl w:val="0"/>
          <w:numId w:val="2"/>
        </w:numPr>
        <w:spacing w:after="0" w:line="240" w:lineRule="auto"/>
        <w:ind w:left="0"/>
        <w:contextualSpacing w:val="0"/>
        <w:jc w:val="both"/>
        <w:rPr>
          <w:rFonts w:ascii="Times New Roman" w:hAnsi="Times New Roman" w:cs="Times New Roman"/>
          <w:b/>
          <w:bCs/>
          <w:color w:val="000000"/>
          <w:sz w:val="24"/>
          <w:szCs w:val="24"/>
        </w:rPr>
      </w:pPr>
      <w:r w:rsidRPr="006C24FF">
        <w:rPr>
          <w:rFonts w:ascii="Times New Roman" w:hAnsi="Times New Roman" w:cs="Times New Roman"/>
          <w:b/>
          <w:bCs/>
          <w:color w:val="000000"/>
          <w:sz w:val="24"/>
          <w:szCs w:val="24"/>
        </w:rPr>
        <w:t xml:space="preserve">LABORATORY </w:t>
      </w:r>
      <w:r w:rsidR="006C24FF" w:rsidRPr="006C24FF">
        <w:rPr>
          <w:rFonts w:ascii="Times New Roman" w:hAnsi="Times New Roman" w:cs="Times New Roman"/>
          <w:b/>
          <w:bCs/>
          <w:color w:val="000000"/>
          <w:sz w:val="24"/>
          <w:szCs w:val="24"/>
        </w:rPr>
        <w:t>TESTING AND SAMPLING SCHEDULE</w:t>
      </w:r>
    </w:p>
    <w:tbl>
      <w:tblPr>
        <w:tblW w:w="1016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648"/>
        <w:gridCol w:w="1832"/>
        <w:gridCol w:w="1740"/>
        <w:gridCol w:w="3664"/>
      </w:tblGrid>
      <w:tr w:rsidR="00A97760" w14:paraId="3534100B" w14:textId="77777777" w:rsidTr="00A97760">
        <w:trPr>
          <w:trHeight w:val="449"/>
        </w:trPr>
        <w:tc>
          <w:tcPr>
            <w:tcW w:w="1281" w:type="dxa"/>
            <w:shd w:val="clear" w:color="auto" w:fill="C0C0C0"/>
          </w:tcPr>
          <w:p w14:paraId="27317B58" w14:textId="77777777" w:rsidR="006C24FF" w:rsidRDefault="006C24FF" w:rsidP="006C24FF">
            <w:pPr>
              <w:pStyle w:val="TableParagraph"/>
              <w:jc w:val="center"/>
              <w:rPr>
                <w:b/>
                <w:sz w:val="18"/>
              </w:rPr>
            </w:pPr>
          </w:p>
          <w:p w14:paraId="3055AE52" w14:textId="77777777" w:rsidR="006C24FF" w:rsidRDefault="006C24FF" w:rsidP="006C24FF">
            <w:pPr>
              <w:pStyle w:val="TableParagraph"/>
              <w:ind w:left="9" w:right="2"/>
              <w:jc w:val="center"/>
              <w:rPr>
                <w:sz w:val="18"/>
              </w:rPr>
            </w:pPr>
            <w:r>
              <w:rPr>
                <w:spacing w:val="-2"/>
                <w:sz w:val="18"/>
              </w:rPr>
              <w:t>OPERATION</w:t>
            </w:r>
          </w:p>
        </w:tc>
        <w:tc>
          <w:tcPr>
            <w:tcW w:w="1648" w:type="dxa"/>
            <w:shd w:val="clear" w:color="auto" w:fill="C0C0C0"/>
          </w:tcPr>
          <w:p w14:paraId="620D40FA" w14:textId="77777777" w:rsidR="006C24FF" w:rsidRDefault="006C24FF" w:rsidP="006C24FF">
            <w:pPr>
              <w:pStyle w:val="TableParagraph"/>
              <w:ind w:left="256" w:firstLine="199"/>
              <w:jc w:val="center"/>
              <w:rPr>
                <w:sz w:val="18"/>
              </w:rPr>
            </w:pPr>
            <w:r>
              <w:rPr>
                <w:spacing w:val="-2"/>
                <w:sz w:val="18"/>
              </w:rPr>
              <w:t>MATERIAL SPECIFICATION</w:t>
            </w:r>
          </w:p>
        </w:tc>
        <w:tc>
          <w:tcPr>
            <w:tcW w:w="1832" w:type="dxa"/>
            <w:shd w:val="clear" w:color="auto" w:fill="C0C0C0"/>
          </w:tcPr>
          <w:p w14:paraId="318291B6" w14:textId="77777777" w:rsidR="006C24FF" w:rsidRDefault="006C24FF" w:rsidP="006C24FF">
            <w:pPr>
              <w:pStyle w:val="TableParagraph"/>
              <w:jc w:val="center"/>
              <w:rPr>
                <w:b/>
                <w:sz w:val="18"/>
              </w:rPr>
            </w:pPr>
          </w:p>
          <w:p w14:paraId="791CB341" w14:textId="77777777" w:rsidR="006C24FF" w:rsidRDefault="006C24FF" w:rsidP="006C24FF">
            <w:pPr>
              <w:pStyle w:val="TableParagraph"/>
              <w:ind w:left="15" w:right="4"/>
              <w:jc w:val="center"/>
              <w:rPr>
                <w:sz w:val="18"/>
              </w:rPr>
            </w:pPr>
            <w:r>
              <w:rPr>
                <w:spacing w:val="-2"/>
                <w:sz w:val="18"/>
              </w:rPr>
              <w:t>TESTS</w:t>
            </w:r>
          </w:p>
        </w:tc>
        <w:tc>
          <w:tcPr>
            <w:tcW w:w="1740" w:type="dxa"/>
            <w:shd w:val="clear" w:color="auto" w:fill="C0C0C0"/>
          </w:tcPr>
          <w:p w14:paraId="5D15B108" w14:textId="77777777" w:rsidR="006C24FF" w:rsidRDefault="006C24FF" w:rsidP="006C24FF">
            <w:pPr>
              <w:pStyle w:val="TableParagraph"/>
              <w:ind w:left="184" w:firstLine="314"/>
              <w:jc w:val="center"/>
              <w:rPr>
                <w:sz w:val="18"/>
              </w:rPr>
            </w:pPr>
            <w:r>
              <w:rPr>
                <w:spacing w:val="-2"/>
                <w:sz w:val="18"/>
              </w:rPr>
              <w:t>PROJECT REQUIREMENTS</w:t>
            </w:r>
          </w:p>
        </w:tc>
        <w:tc>
          <w:tcPr>
            <w:tcW w:w="3664" w:type="dxa"/>
            <w:shd w:val="clear" w:color="auto" w:fill="C0C0C0"/>
          </w:tcPr>
          <w:p w14:paraId="243579D1" w14:textId="77777777" w:rsidR="006C24FF" w:rsidRDefault="006C24FF" w:rsidP="006C24FF">
            <w:pPr>
              <w:pStyle w:val="TableParagraph"/>
              <w:jc w:val="center"/>
              <w:rPr>
                <w:b/>
                <w:sz w:val="18"/>
              </w:rPr>
            </w:pPr>
          </w:p>
          <w:p w14:paraId="328F0EB5" w14:textId="77777777" w:rsidR="006C24FF" w:rsidRDefault="006C24FF" w:rsidP="006C24FF">
            <w:pPr>
              <w:pStyle w:val="TableParagraph"/>
              <w:ind w:left="132" w:right="119"/>
              <w:jc w:val="center"/>
              <w:rPr>
                <w:sz w:val="18"/>
              </w:rPr>
            </w:pPr>
            <w:r>
              <w:rPr>
                <w:sz w:val="18"/>
              </w:rPr>
              <w:t>TESTING</w:t>
            </w:r>
            <w:r>
              <w:rPr>
                <w:spacing w:val="-4"/>
                <w:sz w:val="18"/>
              </w:rPr>
              <w:t xml:space="preserve"> </w:t>
            </w:r>
            <w:r>
              <w:rPr>
                <w:spacing w:val="-2"/>
                <w:sz w:val="18"/>
              </w:rPr>
              <w:t>FREQUENCY</w:t>
            </w:r>
          </w:p>
        </w:tc>
      </w:tr>
      <w:tr w:rsidR="00A97760" w14:paraId="47088F04" w14:textId="77777777" w:rsidTr="00A97760">
        <w:trPr>
          <w:trHeight w:val="629"/>
        </w:trPr>
        <w:tc>
          <w:tcPr>
            <w:tcW w:w="1281" w:type="dxa"/>
          </w:tcPr>
          <w:p w14:paraId="29584B1E" w14:textId="77777777" w:rsidR="006C24FF" w:rsidRDefault="006C24FF" w:rsidP="006C24FF">
            <w:pPr>
              <w:pStyle w:val="TableParagraph"/>
              <w:ind w:left="249" w:right="234" w:firstLine="38"/>
              <w:rPr>
                <w:sz w:val="18"/>
              </w:rPr>
            </w:pPr>
            <w:r>
              <w:rPr>
                <w:sz w:val="18"/>
              </w:rPr>
              <w:t>Prime and Tack</w:t>
            </w:r>
            <w:r>
              <w:rPr>
                <w:spacing w:val="-3"/>
                <w:sz w:val="18"/>
              </w:rPr>
              <w:t xml:space="preserve"> </w:t>
            </w:r>
            <w:r>
              <w:rPr>
                <w:spacing w:val="-2"/>
                <w:sz w:val="18"/>
              </w:rPr>
              <w:t>Coats</w:t>
            </w:r>
          </w:p>
        </w:tc>
        <w:tc>
          <w:tcPr>
            <w:tcW w:w="1648" w:type="dxa"/>
          </w:tcPr>
          <w:p w14:paraId="3B467E90"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1A722ACA" w14:textId="77777777" w:rsidR="006C24FF" w:rsidRDefault="006C24FF" w:rsidP="006C24FF">
            <w:pPr>
              <w:pStyle w:val="TableParagraph"/>
              <w:rPr>
                <w:sz w:val="18"/>
              </w:rPr>
            </w:pPr>
          </w:p>
        </w:tc>
        <w:tc>
          <w:tcPr>
            <w:tcW w:w="1740" w:type="dxa"/>
          </w:tcPr>
          <w:p w14:paraId="28E03E02" w14:textId="77777777" w:rsidR="006C24FF" w:rsidRDefault="006C24FF" w:rsidP="006C24FF">
            <w:pPr>
              <w:pStyle w:val="TableParagraph"/>
              <w:ind w:left="16" w:right="1"/>
              <w:jc w:val="center"/>
              <w:rPr>
                <w:sz w:val="18"/>
              </w:rPr>
            </w:pPr>
            <w:r>
              <w:rPr>
                <w:spacing w:val="-2"/>
                <w:sz w:val="18"/>
              </w:rPr>
              <w:t>Certification</w:t>
            </w:r>
          </w:p>
        </w:tc>
        <w:tc>
          <w:tcPr>
            <w:tcW w:w="3664" w:type="dxa"/>
          </w:tcPr>
          <w:p w14:paraId="3DB7962A" w14:textId="77777777" w:rsidR="006C24FF" w:rsidRDefault="006C24FF" w:rsidP="006C24FF">
            <w:pPr>
              <w:pStyle w:val="TableParagraph"/>
              <w:ind w:left="133" w:right="119"/>
              <w:jc w:val="center"/>
              <w:rPr>
                <w:sz w:val="18"/>
              </w:rPr>
            </w:pPr>
            <w:r>
              <w:rPr>
                <w:sz w:val="18"/>
              </w:rPr>
              <w:t>Every</w:t>
            </w:r>
            <w:r>
              <w:rPr>
                <w:spacing w:val="-1"/>
                <w:sz w:val="18"/>
              </w:rPr>
              <w:t xml:space="preserve"> </w:t>
            </w:r>
            <w:r>
              <w:rPr>
                <w:spacing w:val="-2"/>
                <w:sz w:val="18"/>
              </w:rPr>
              <w:t>Transport</w:t>
            </w:r>
          </w:p>
        </w:tc>
      </w:tr>
      <w:tr w:rsidR="00A97760" w14:paraId="7688AB1B" w14:textId="77777777" w:rsidTr="00A97760">
        <w:trPr>
          <w:trHeight w:val="407"/>
        </w:trPr>
        <w:tc>
          <w:tcPr>
            <w:tcW w:w="1281" w:type="dxa"/>
            <w:vMerge w:val="restart"/>
          </w:tcPr>
          <w:p w14:paraId="2E636A6A" w14:textId="77777777" w:rsidR="006C24FF" w:rsidRDefault="006C24FF" w:rsidP="006C24FF">
            <w:pPr>
              <w:pStyle w:val="TableParagraph"/>
              <w:rPr>
                <w:b/>
                <w:sz w:val="18"/>
              </w:rPr>
            </w:pPr>
          </w:p>
          <w:p w14:paraId="36F635CE" w14:textId="77777777" w:rsidR="006C24FF" w:rsidRDefault="006C24FF" w:rsidP="006C24FF">
            <w:pPr>
              <w:pStyle w:val="TableParagraph"/>
              <w:rPr>
                <w:b/>
                <w:sz w:val="18"/>
              </w:rPr>
            </w:pPr>
          </w:p>
          <w:p w14:paraId="1E7AFCC0" w14:textId="77777777" w:rsidR="006C24FF" w:rsidRDefault="006C24FF" w:rsidP="006C24FF">
            <w:pPr>
              <w:pStyle w:val="TableParagraph"/>
              <w:rPr>
                <w:b/>
                <w:sz w:val="18"/>
              </w:rPr>
            </w:pPr>
          </w:p>
          <w:p w14:paraId="6F3F0E37" w14:textId="77777777" w:rsidR="006C24FF" w:rsidRDefault="006C24FF" w:rsidP="006C24FF">
            <w:pPr>
              <w:pStyle w:val="TableParagraph"/>
              <w:ind w:left="275" w:right="264" w:hanging="1"/>
              <w:jc w:val="center"/>
              <w:rPr>
                <w:sz w:val="18"/>
              </w:rPr>
            </w:pPr>
            <w:r>
              <w:rPr>
                <w:spacing w:val="-4"/>
                <w:sz w:val="18"/>
              </w:rPr>
              <w:t xml:space="preserve">Type </w:t>
            </w:r>
            <w:r>
              <w:rPr>
                <w:spacing w:val="-2"/>
                <w:sz w:val="18"/>
              </w:rPr>
              <w:t>Superpave Asphaltic Concrete</w:t>
            </w:r>
          </w:p>
        </w:tc>
        <w:tc>
          <w:tcPr>
            <w:tcW w:w="1648" w:type="dxa"/>
            <w:vMerge w:val="restart"/>
          </w:tcPr>
          <w:p w14:paraId="61114439" w14:textId="77777777" w:rsidR="006C24FF" w:rsidRDefault="006C24FF" w:rsidP="006C24FF">
            <w:pPr>
              <w:pStyle w:val="TableParagraph"/>
              <w:rPr>
                <w:b/>
                <w:sz w:val="18"/>
              </w:rPr>
            </w:pPr>
          </w:p>
          <w:p w14:paraId="6E731C71" w14:textId="77777777" w:rsidR="006C24FF" w:rsidRDefault="006C24FF" w:rsidP="006C24FF">
            <w:pPr>
              <w:pStyle w:val="TableParagraph"/>
              <w:rPr>
                <w:b/>
                <w:sz w:val="18"/>
              </w:rPr>
            </w:pPr>
          </w:p>
          <w:p w14:paraId="5116FDCE" w14:textId="77777777" w:rsidR="006C24FF" w:rsidRDefault="006C24FF" w:rsidP="006C24FF">
            <w:pPr>
              <w:pStyle w:val="TableParagraph"/>
              <w:rPr>
                <w:b/>
                <w:sz w:val="18"/>
              </w:rPr>
            </w:pPr>
          </w:p>
          <w:p w14:paraId="7A13B142" w14:textId="77777777" w:rsidR="006C24FF" w:rsidRDefault="006C24FF" w:rsidP="006C24FF">
            <w:pPr>
              <w:pStyle w:val="TableParagraph"/>
              <w:rPr>
                <w:b/>
                <w:sz w:val="18"/>
              </w:rPr>
            </w:pPr>
          </w:p>
          <w:p w14:paraId="6084209E"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47E4401D" w14:textId="77777777" w:rsidR="006C24FF" w:rsidRDefault="006C24FF" w:rsidP="006C24FF">
            <w:pPr>
              <w:pStyle w:val="TableParagraph"/>
              <w:ind w:left="15" w:right="2"/>
              <w:jc w:val="center"/>
              <w:rPr>
                <w:sz w:val="18"/>
              </w:rPr>
            </w:pPr>
            <w:r>
              <w:rPr>
                <w:sz w:val="18"/>
              </w:rPr>
              <w:t>Job</w:t>
            </w:r>
            <w:r>
              <w:rPr>
                <w:spacing w:val="-3"/>
                <w:sz w:val="18"/>
              </w:rPr>
              <w:t xml:space="preserve"> </w:t>
            </w:r>
            <w:r>
              <w:rPr>
                <w:sz w:val="18"/>
              </w:rPr>
              <w:t>Mix</w:t>
            </w:r>
            <w:r>
              <w:rPr>
                <w:spacing w:val="-1"/>
                <w:sz w:val="18"/>
              </w:rPr>
              <w:t xml:space="preserve"> </w:t>
            </w:r>
            <w:r>
              <w:rPr>
                <w:spacing w:val="-2"/>
                <w:sz w:val="18"/>
              </w:rPr>
              <w:t>Formula</w:t>
            </w:r>
          </w:p>
        </w:tc>
        <w:tc>
          <w:tcPr>
            <w:tcW w:w="1740" w:type="dxa"/>
          </w:tcPr>
          <w:p w14:paraId="1A7C75E6" w14:textId="77777777" w:rsidR="006C24FF" w:rsidRDefault="006C24FF" w:rsidP="006C24FF">
            <w:pPr>
              <w:pStyle w:val="TableParagraph"/>
              <w:ind w:left="16" w:right="6"/>
              <w:jc w:val="center"/>
              <w:rPr>
                <w:sz w:val="18"/>
              </w:rPr>
            </w:pPr>
            <w:r>
              <w:rPr>
                <w:spacing w:val="-2"/>
                <w:sz w:val="18"/>
              </w:rPr>
              <w:t>Certification</w:t>
            </w:r>
          </w:p>
        </w:tc>
        <w:tc>
          <w:tcPr>
            <w:tcW w:w="3664" w:type="dxa"/>
          </w:tcPr>
          <w:p w14:paraId="33C3B878" w14:textId="77777777" w:rsidR="006C24FF" w:rsidRDefault="006C24FF" w:rsidP="006C24FF">
            <w:pPr>
              <w:pStyle w:val="TableParagraph"/>
              <w:ind w:left="133" w:right="119"/>
              <w:jc w:val="center"/>
              <w:rPr>
                <w:sz w:val="18"/>
              </w:rPr>
            </w:pPr>
            <w:r>
              <w:rPr>
                <w:sz w:val="18"/>
              </w:rPr>
              <w:t>Each</w:t>
            </w:r>
            <w:r>
              <w:rPr>
                <w:spacing w:val="-1"/>
                <w:sz w:val="18"/>
              </w:rPr>
              <w:t xml:space="preserve"> </w:t>
            </w:r>
            <w:r>
              <w:rPr>
                <w:sz w:val="18"/>
              </w:rPr>
              <w:t>mix design</w:t>
            </w:r>
            <w:r>
              <w:rPr>
                <w:spacing w:val="-2"/>
                <w:sz w:val="18"/>
              </w:rPr>
              <w:t xml:space="preserve"> </w:t>
            </w:r>
            <w:r>
              <w:rPr>
                <w:sz w:val="18"/>
              </w:rPr>
              <w:t>or</w:t>
            </w:r>
            <w:r>
              <w:rPr>
                <w:spacing w:val="-1"/>
                <w:sz w:val="18"/>
              </w:rPr>
              <w:t xml:space="preserve"> </w:t>
            </w:r>
            <w:r>
              <w:rPr>
                <w:sz w:val="18"/>
              </w:rPr>
              <w:t>change</w:t>
            </w:r>
            <w:r>
              <w:rPr>
                <w:spacing w:val="-2"/>
                <w:sz w:val="18"/>
              </w:rPr>
              <w:t xml:space="preserve"> </w:t>
            </w:r>
            <w:r>
              <w:rPr>
                <w:sz w:val="18"/>
              </w:rPr>
              <w:t>of</w:t>
            </w:r>
            <w:r>
              <w:rPr>
                <w:spacing w:val="-2"/>
                <w:sz w:val="18"/>
              </w:rPr>
              <w:t xml:space="preserve"> aggregates</w:t>
            </w:r>
          </w:p>
        </w:tc>
      </w:tr>
      <w:tr w:rsidR="00A97760" w14:paraId="7D2B0ADE" w14:textId="77777777" w:rsidTr="00A97760">
        <w:trPr>
          <w:trHeight w:val="407"/>
        </w:trPr>
        <w:tc>
          <w:tcPr>
            <w:tcW w:w="1281" w:type="dxa"/>
            <w:vMerge/>
            <w:tcBorders>
              <w:top w:val="nil"/>
            </w:tcBorders>
          </w:tcPr>
          <w:p w14:paraId="74193101" w14:textId="77777777" w:rsidR="006C24FF" w:rsidRDefault="006C24FF" w:rsidP="006C24FF">
            <w:pPr>
              <w:spacing w:after="0" w:line="240" w:lineRule="auto"/>
              <w:rPr>
                <w:sz w:val="2"/>
                <w:szCs w:val="2"/>
              </w:rPr>
            </w:pPr>
          </w:p>
        </w:tc>
        <w:tc>
          <w:tcPr>
            <w:tcW w:w="1648" w:type="dxa"/>
            <w:vMerge/>
            <w:tcBorders>
              <w:top w:val="nil"/>
            </w:tcBorders>
          </w:tcPr>
          <w:p w14:paraId="0579D97F" w14:textId="77777777" w:rsidR="006C24FF" w:rsidRDefault="006C24FF" w:rsidP="006C24FF">
            <w:pPr>
              <w:spacing w:after="0" w:line="240" w:lineRule="auto"/>
              <w:rPr>
                <w:sz w:val="2"/>
                <w:szCs w:val="2"/>
              </w:rPr>
            </w:pPr>
          </w:p>
        </w:tc>
        <w:tc>
          <w:tcPr>
            <w:tcW w:w="1832" w:type="dxa"/>
          </w:tcPr>
          <w:p w14:paraId="2E99806E" w14:textId="77777777" w:rsidR="006C24FF" w:rsidRDefault="006C24FF" w:rsidP="006C24FF">
            <w:pPr>
              <w:pStyle w:val="TableParagraph"/>
              <w:ind w:left="15" w:right="5"/>
              <w:jc w:val="center"/>
              <w:rPr>
                <w:sz w:val="18"/>
              </w:rPr>
            </w:pPr>
            <w:r>
              <w:rPr>
                <w:sz w:val="18"/>
              </w:rPr>
              <w:t>RICE</w:t>
            </w:r>
            <w:r>
              <w:rPr>
                <w:spacing w:val="-2"/>
                <w:sz w:val="18"/>
              </w:rPr>
              <w:t xml:space="preserve"> (Gmm)</w:t>
            </w:r>
          </w:p>
        </w:tc>
        <w:tc>
          <w:tcPr>
            <w:tcW w:w="1740" w:type="dxa"/>
          </w:tcPr>
          <w:p w14:paraId="51E0C4A4"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334</w:t>
            </w:r>
          </w:p>
        </w:tc>
        <w:tc>
          <w:tcPr>
            <w:tcW w:w="3664" w:type="dxa"/>
          </w:tcPr>
          <w:p w14:paraId="36E4A8C3" w14:textId="77777777" w:rsidR="006C24FF" w:rsidRDefault="006C24FF" w:rsidP="006C24FF">
            <w:pPr>
              <w:pStyle w:val="TableParagraph"/>
              <w:ind w:left="133" w:right="119"/>
              <w:jc w:val="center"/>
              <w:rPr>
                <w:sz w:val="18"/>
              </w:rPr>
            </w:pPr>
            <w:r>
              <w:rPr>
                <w:sz w:val="18"/>
              </w:rPr>
              <w:t>One</w:t>
            </w:r>
            <w:r>
              <w:rPr>
                <w:spacing w:val="-3"/>
                <w:sz w:val="18"/>
              </w:rPr>
              <w:t xml:space="preserve"> </w:t>
            </w:r>
            <w:r>
              <w:rPr>
                <w:sz w:val="18"/>
              </w:rPr>
              <w:t xml:space="preserve">per </w:t>
            </w:r>
            <w:r>
              <w:rPr>
                <w:spacing w:val="-2"/>
                <w:sz w:val="18"/>
              </w:rPr>
              <w:t>sublot</w:t>
            </w:r>
          </w:p>
        </w:tc>
      </w:tr>
      <w:tr w:rsidR="00A97760" w14:paraId="11D0A32F" w14:textId="77777777" w:rsidTr="00A97760">
        <w:trPr>
          <w:trHeight w:val="629"/>
        </w:trPr>
        <w:tc>
          <w:tcPr>
            <w:tcW w:w="1281" w:type="dxa"/>
            <w:vMerge/>
            <w:tcBorders>
              <w:top w:val="nil"/>
            </w:tcBorders>
          </w:tcPr>
          <w:p w14:paraId="774CD22B" w14:textId="77777777" w:rsidR="006C24FF" w:rsidRDefault="006C24FF" w:rsidP="006C24FF">
            <w:pPr>
              <w:spacing w:after="0" w:line="240" w:lineRule="auto"/>
              <w:rPr>
                <w:sz w:val="2"/>
                <w:szCs w:val="2"/>
              </w:rPr>
            </w:pPr>
          </w:p>
        </w:tc>
        <w:tc>
          <w:tcPr>
            <w:tcW w:w="1648" w:type="dxa"/>
            <w:vMerge/>
            <w:tcBorders>
              <w:top w:val="nil"/>
            </w:tcBorders>
          </w:tcPr>
          <w:p w14:paraId="5927AEA3" w14:textId="77777777" w:rsidR="006C24FF" w:rsidRDefault="006C24FF" w:rsidP="006C24FF">
            <w:pPr>
              <w:spacing w:after="0" w:line="240" w:lineRule="auto"/>
              <w:rPr>
                <w:sz w:val="2"/>
                <w:szCs w:val="2"/>
              </w:rPr>
            </w:pPr>
          </w:p>
        </w:tc>
        <w:tc>
          <w:tcPr>
            <w:tcW w:w="1832" w:type="dxa"/>
          </w:tcPr>
          <w:p w14:paraId="62637629" w14:textId="77777777" w:rsidR="006C24FF" w:rsidRDefault="006C24FF" w:rsidP="006C24FF">
            <w:pPr>
              <w:pStyle w:val="TableParagraph"/>
              <w:ind w:left="429" w:hanging="17"/>
              <w:rPr>
                <w:sz w:val="18"/>
              </w:rPr>
            </w:pPr>
            <w:r>
              <w:rPr>
                <w:spacing w:val="-2"/>
                <w:sz w:val="18"/>
              </w:rPr>
              <w:t>Extraction Gradation</w:t>
            </w:r>
          </w:p>
          <w:p w14:paraId="1CB8DFA9" w14:textId="77777777" w:rsidR="006C24FF" w:rsidRDefault="006C24FF" w:rsidP="006C24FF">
            <w:pPr>
              <w:pStyle w:val="TableParagraph"/>
              <w:ind w:left="472"/>
              <w:rPr>
                <w:sz w:val="18"/>
              </w:rPr>
            </w:pPr>
            <w:r>
              <w:rPr>
                <w:spacing w:val="-2"/>
                <w:sz w:val="18"/>
              </w:rPr>
              <w:t>Analysis</w:t>
            </w:r>
          </w:p>
        </w:tc>
        <w:tc>
          <w:tcPr>
            <w:tcW w:w="1740" w:type="dxa"/>
          </w:tcPr>
          <w:p w14:paraId="7B6904EC"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334</w:t>
            </w:r>
          </w:p>
        </w:tc>
        <w:tc>
          <w:tcPr>
            <w:tcW w:w="3664" w:type="dxa"/>
          </w:tcPr>
          <w:p w14:paraId="06EECA39" w14:textId="77777777" w:rsidR="006C24FF" w:rsidRDefault="006C24FF" w:rsidP="006C24FF">
            <w:pPr>
              <w:pStyle w:val="TableParagraph"/>
              <w:ind w:left="133" w:right="119"/>
              <w:jc w:val="center"/>
              <w:rPr>
                <w:sz w:val="18"/>
              </w:rPr>
            </w:pPr>
            <w:r>
              <w:rPr>
                <w:sz w:val="18"/>
              </w:rPr>
              <w:t>One</w:t>
            </w:r>
            <w:r>
              <w:rPr>
                <w:spacing w:val="-3"/>
                <w:sz w:val="18"/>
              </w:rPr>
              <w:t xml:space="preserve"> </w:t>
            </w:r>
            <w:r>
              <w:rPr>
                <w:sz w:val="18"/>
              </w:rPr>
              <w:t xml:space="preserve">per </w:t>
            </w:r>
            <w:r>
              <w:rPr>
                <w:spacing w:val="-2"/>
                <w:sz w:val="18"/>
              </w:rPr>
              <w:t>sublot</w:t>
            </w:r>
          </w:p>
        </w:tc>
      </w:tr>
      <w:tr w:rsidR="00A97760" w14:paraId="56745B4F" w14:textId="77777777" w:rsidTr="00A97760">
        <w:trPr>
          <w:trHeight w:val="483"/>
        </w:trPr>
        <w:tc>
          <w:tcPr>
            <w:tcW w:w="1281" w:type="dxa"/>
            <w:vMerge/>
            <w:tcBorders>
              <w:top w:val="nil"/>
            </w:tcBorders>
          </w:tcPr>
          <w:p w14:paraId="0C10F794" w14:textId="77777777" w:rsidR="006C24FF" w:rsidRDefault="006C24FF" w:rsidP="006C24FF">
            <w:pPr>
              <w:spacing w:after="0" w:line="240" w:lineRule="auto"/>
              <w:rPr>
                <w:sz w:val="2"/>
                <w:szCs w:val="2"/>
              </w:rPr>
            </w:pPr>
          </w:p>
        </w:tc>
        <w:tc>
          <w:tcPr>
            <w:tcW w:w="1648" w:type="dxa"/>
            <w:vMerge/>
            <w:tcBorders>
              <w:top w:val="nil"/>
            </w:tcBorders>
          </w:tcPr>
          <w:p w14:paraId="01F69068" w14:textId="77777777" w:rsidR="006C24FF" w:rsidRDefault="006C24FF" w:rsidP="006C24FF">
            <w:pPr>
              <w:spacing w:after="0" w:line="240" w:lineRule="auto"/>
              <w:rPr>
                <w:sz w:val="2"/>
                <w:szCs w:val="2"/>
              </w:rPr>
            </w:pPr>
          </w:p>
        </w:tc>
        <w:tc>
          <w:tcPr>
            <w:tcW w:w="1832" w:type="dxa"/>
          </w:tcPr>
          <w:p w14:paraId="6B0E9CA0" w14:textId="77777777" w:rsidR="006C24FF" w:rsidRDefault="006C24FF" w:rsidP="006C24FF">
            <w:pPr>
              <w:pStyle w:val="TableParagraph"/>
              <w:ind w:left="549" w:right="285" w:hanging="250"/>
              <w:rPr>
                <w:sz w:val="18"/>
              </w:rPr>
            </w:pPr>
            <w:r>
              <w:rPr>
                <w:sz w:val="18"/>
              </w:rPr>
              <w:t>Field</w:t>
            </w:r>
            <w:r>
              <w:rPr>
                <w:spacing w:val="-12"/>
                <w:sz w:val="18"/>
              </w:rPr>
              <w:t xml:space="preserve"> </w:t>
            </w:r>
            <w:r>
              <w:rPr>
                <w:sz w:val="18"/>
              </w:rPr>
              <w:t xml:space="preserve">Density </w:t>
            </w:r>
            <w:r>
              <w:rPr>
                <w:spacing w:val="-2"/>
                <w:sz w:val="18"/>
              </w:rPr>
              <w:t>(Gmb)</w:t>
            </w:r>
          </w:p>
        </w:tc>
        <w:tc>
          <w:tcPr>
            <w:tcW w:w="1740" w:type="dxa"/>
          </w:tcPr>
          <w:p w14:paraId="2A9BA4D5"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334</w:t>
            </w:r>
          </w:p>
        </w:tc>
        <w:tc>
          <w:tcPr>
            <w:tcW w:w="3664" w:type="dxa"/>
          </w:tcPr>
          <w:p w14:paraId="300F4FC7" w14:textId="77777777" w:rsidR="006C24FF" w:rsidRDefault="006C24FF" w:rsidP="006C24FF">
            <w:pPr>
              <w:pStyle w:val="TableParagraph"/>
              <w:ind w:left="132" w:right="119"/>
              <w:jc w:val="center"/>
              <w:rPr>
                <w:sz w:val="18"/>
              </w:rPr>
            </w:pPr>
            <w:r>
              <w:rPr>
                <w:sz w:val="18"/>
              </w:rPr>
              <w:t>5</w:t>
            </w:r>
            <w:r>
              <w:rPr>
                <w:spacing w:val="-1"/>
                <w:sz w:val="18"/>
              </w:rPr>
              <w:t xml:space="preserve"> </w:t>
            </w:r>
            <w:r>
              <w:rPr>
                <w:sz w:val="18"/>
              </w:rPr>
              <w:t>six</w:t>
            </w:r>
            <w:r>
              <w:rPr>
                <w:spacing w:val="-3"/>
                <w:sz w:val="18"/>
              </w:rPr>
              <w:t>-inch</w:t>
            </w:r>
            <w:r>
              <w:rPr>
                <w:spacing w:val="-2"/>
                <w:sz w:val="18"/>
              </w:rPr>
              <w:t xml:space="preserve"> </w:t>
            </w:r>
            <w:r>
              <w:rPr>
                <w:sz w:val="18"/>
              </w:rPr>
              <w:t>cores</w:t>
            </w:r>
            <w:r>
              <w:rPr>
                <w:spacing w:val="-2"/>
                <w:sz w:val="18"/>
              </w:rPr>
              <w:t xml:space="preserve"> </w:t>
            </w:r>
            <w:r>
              <w:rPr>
                <w:sz w:val="18"/>
              </w:rPr>
              <w:t>per</w:t>
            </w:r>
            <w:r>
              <w:rPr>
                <w:spacing w:val="-1"/>
                <w:sz w:val="18"/>
              </w:rPr>
              <w:t xml:space="preserve"> </w:t>
            </w:r>
            <w:r>
              <w:rPr>
                <w:sz w:val="18"/>
              </w:rPr>
              <w:t>sublot</w:t>
            </w:r>
            <w:r>
              <w:rPr>
                <w:spacing w:val="-2"/>
                <w:sz w:val="18"/>
              </w:rPr>
              <w:t xml:space="preserve"> </w:t>
            </w:r>
            <w:r>
              <w:rPr>
                <w:sz w:val="18"/>
              </w:rPr>
              <w:t>(Random</w:t>
            </w:r>
            <w:r>
              <w:rPr>
                <w:spacing w:val="-2"/>
                <w:sz w:val="18"/>
              </w:rPr>
              <w:t xml:space="preserve"> Locations)</w:t>
            </w:r>
          </w:p>
        </w:tc>
      </w:tr>
      <w:tr w:rsidR="00A97760" w14:paraId="2A03AAB1" w14:textId="77777777" w:rsidTr="00A97760">
        <w:trPr>
          <w:trHeight w:val="264"/>
        </w:trPr>
        <w:tc>
          <w:tcPr>
            <w:tcW w:w="1281" w:type="dxa"/>
            <w:vMerge/>
            <w:tcBorders>
              <w:top w:val="nil"/>
            </w:tcBorders>
          </w:tcPr>
          <w:p w14:paraId="48DFD39E" w14:textId="77777777" w:rsidR="006C24FF" w:rsidRDefault="006C24FF" w:rsidP="006C24FF">
            <w:pPr>
              <w:spacing w:after="0" w:line="240" w:lineRule="auto"/>
              <w:rPr>
                <w:sz w:val="2"/>
                <w:szCs w:val="2"/>
              </w:rPr>
            </w:pPr>
          </w:p>
        </w:tc>
        <w:tc>
          <w:tcPr>
            <w:tcW w:w="1648" w:type="dxa"/>
            <w:vMerge/>
            <w:tcBorders>
              <w:top w:val="nil"/>
            </w:tcBorders>
          </w:tcPr>
          <w:p w14:paraId="4DC64025" w14:textId="77777777" w:rsidR="006C24FF" w:rsidRDefault="006C24FF" w:rsidP="006C24FF">
            <w:pPr>
              <w:spacing w:after="0" w:line="240" w:lineRule="auto"/>
              <w:rPr>
                <w:sz w:val="2"/>
                <w:szCs w:val="2"/>
              </w:rPr>
            </w:pPr>
          </w:p>
        </w:tc>
        <w:tc>
          <w:tcPr>
            <w:tcW w:w="1832" w:type="dxa"/>
          </w:tcPr>
          <w:p w14:paraId="4997ACEC" w14:textId="77777777" w:rsidR="006C24FF" w:rsidRDefault="006C24FF" w:rsidP="006C24FF">
            <w:pPr>
              <w:pStyle w:val="TableParagraph"/>
              <w:ind w:left="15"/>
              <w:jc w:val="center"/>
              <w:rPr>
                <w:sz w:val="18"/>
              </w:rPr>
            </w:pPr>
            <w:r>
              <w:rPr>
                <w:sz w:val="18"/>
              </w:rPr>
              <w:t>Asphalt</w:t>
            </w:r>
            <w:r>
              <w:rPr>
                <w:spacing w:val="-1"/>
                <w:sz w:val="18"/>
              </w:rPr>
              <w:t xml:space="preserve"> </w:t>
            </w:r>
            <w:r>
              <w:rPr>
                <w:spacing w:val="-2"/>
                <w:sz w:val="18"/>
              </w:rPr>
              <w:t>Binder</w:t>
            </w:r>
          </w:p>
        </w:tc>
        <w:tc>
          <w:tcPr>
            <w:tcW w:w="1740" w:type="dxa"/>
          </w:tcPr>
          <w:p w14:paraId="5AD1BFA3"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334</w:t>
            </w:r>
          </w:p>
        </w:tc>
        <w:tc>
          <w:tcPr>
            <w:tcW w:w="3664" w:type="dxa"/>
          </w:tcPr>
          <w:p w14:paraId="3BB1AB41" w14:textId="77777777" w:rsidR="006C24FF" w:rsidRDefault="006C24FF" w:rsidP="006C24FF">
            <w:pPr>
              <w:pStyle w:val="TableParagraph"/>
              <w:ind w:left="15"/>
              <w:jc w:val="center"/>
              <w:rPr>
                <w:sz w:val="18"/>
              </w:rPr>
            </w:pPr>
            <w:r>
              <w:rPr>
                <w:sz w:val="18"/>
              </w:rPr>
              <w:t>1 sample</w:t>
            </w:r>
            <w:r>
              <w:rPr>
                <w:spacing w:val="-2"/>
                <w:sz w:val="18"/>
              </w:rPr>
              <w:t xml:space="preserve"> </w:t>
            </w:r>
            <w:r>
              <w:rPr>
                <w:sz w:val="18"/>
              </w:rPr>
              <w:t>for</w:t>
            </w:r>
            <w:r>
              <w:rPr>
                <w:spacing w:val="-1"/>
                <w:sz w:val="18"/>
              </w:rPr>
              <w:t xml:space="preserve"> </w:t>
            </w:r>
            <w:r>
              <w:rPr>
                <w:sz w:val="18"/>
              </w:rPr>
              <w:t>the</w:t>
            </w:r>
            <w:r>
              <w:rPr>
                <w:spacing w:val="-1"/>
                <w:sz w:val="18"/>
              </w:rPr>
              <w:t xml:space="preserve"> </w:t>
            </w:r>
            <w:r>
              <w:rPr>
                <w:sz w:val="18"/>
              </w:rPr>
              <w:t>first</w:t>
            </w:r>
            <w:r>
              <w:rPr>
                <w:spacing w:val="-3"/>
                <w:sz w:val="18"/>
              </w:rPr>
              <w:t xml:space="preserve"> </w:t>
            </w:r>
            <w:r>
              <w:rPr>
                <w:sz w:val="18"/>
              </w:rPr>
              <w:t>1000</w:t>
            </w:r>
            <w:r>
              <w:rPr>
                <w:spacing w:val="-1"/>
                <w:sz w:val="18"/>
              </w:rPr>
              <w:t xml:space="preserve"> </w:t>
            </w:r>
            <w:r>
              <w:rPr>
                <w:sz w:val="18"/>
              </w:rPr>
              <w:t>tons</w:t>
            </w:r>
            <w:r>
              <w:rPr>
                <w:spacing w:val="-1"/>
                <w:sz w:val="18"/>
              </w:rPr>
              <w:t xml:space="preserve"> </w:t>
            </w:r>
            <w:r>
              <w:rPr>
                <w:sz w:val="18"/>
              </w:rPr>
              <w:t>and</w:t>
            </w:r>
            <w:r>
              <w:rPr>
                <w:spacing w:val="-2"/>
                <w:sz w:val="18"/>
              </w:rPr>
              <w:t xml:space="preserve"> </w:t>
            </w:r>
            <w:r>
              <w:rPr>
                <w:sz w:val="18"/>
              </w:rPr>
              <w:t>1 per</w:t>
            </w:r>
            <w:r>
              <w:rPr>
                <w:spacing w:val="-2"/>
                <w:sz w:val="18"/>
              </w:rPr>
              <w:t xml:space="preserve"> </w:t>
            </w:r>
            <w:r>
              <w:rPr>
                <w:sz w:val="18"/>
              </w:rPr>
              <w:t>4000</w:t>
            </w:r>
            <w:r>
              <w:rPr>
                <w:spacing w:val="-2"/>
                <w:sz w:val="18"/>
              </w:rPr>
              <w:t xml:space="preserve"> </w:t>
            </w:r>
            <w:r>
              <w:rPr>
                <w:sz w:val="18"/>
              </w:rPr>
              <w:t xml:space="preserve">tons </w:t>
            </w:r>
            <w:r>
              <w:rPr>
                <w:spacing w:val="-4"/>
                <w:sz w:val="18"/>
              </w:rPr>
              <w:t>after</w:t>
            </w:r>
          </w:p>
        </w:tc>
      </w:tr>
      <w:tr w:rsidR="00A97760" w14:paraId="08F84154" w14:textId="77777777" w:rsidTr="00A97760">
        <w:trPr>
          <w:trHeight w:val="261"/>
        </w:trPr>
        <w:tc>
          <w:tcPr>
            <w:tcW w:w="1281" w:type="dxa"/>
            <w:vMerge/>
            <w:tcBorders>
              <w:top w:val="nil"/>
            </w:tcBorders>
          </w:tcPr>
          <w:p w14:paraId="69B8061D" w14:textId="77777777" w:rsidR="006C24FF" w:rsidRDefault="006C24FF" w:rsidP="006C24FF">
            <w:pPr>
              <w:spacing w:after="0" w:line="240" w:lineRule="auto"/>
              <w:rPr>
                <w:sz w:val="2"/>
                <w:szCs w:val="2"/>
              </w:rPr>
            </w:pPr>
          </w:p>
        </w:tc>
        <w:tc>
          <w:tcPr>
            <w:tcW w:w="1648" w:type="dxa"/>
            <w:vMerge/>
            <w:tcBorders>
              <w:top w:val="nil"/>
            </w:tcBorders>
          </w:tcPr>
          <w:p w14:paraId="53CF811E" w14:textId="77777777" w:rsidR="006C24FF" w:rsidRDefault="006C24FF" w:rsidP="006C24FF">
            <w:pPr>
              <w:spacing w:after="0" w:line="240" w:lineRule="auto"/>
              <w:rPr>
                <w:sz w:val="2"/>
                <w:szCs w:val="2"/>
              </w:rPr>
            </w:pPr>
          </w:p>
        </w:tc>
        <w:tc>
          <w:tcPr>
            <w:tcW w:w="1832" w:type="dxa"/>
          </w:tcPr>
          <w:p w14:paraId="5A993C08" w14:textId="77777777" w:rsidR="006C24FF" w:rsidRDefault="006C24FF" w:rsidP="006C24FF">
            <w:pPr>
              <w:pStyle w:val="TableParagraph"/>
              <w:ind w:left="15" w:right="3"/>
              <w:jc w:val="center"/>
              <w:rPr>
                <w:sz w:val="18"/>
              </w:rPr>
            </w:pPr>
            <w:r>
              <w:rPr>
                <w:spacing w:val="-2"/>
                <w:sz w:val="18"/>
              </w:rPr>
              <w:t>Thickness</w:t>
            </w:r>
          </w:p>
        </w:tc>
        <w:tc>
          <w:tcPr>
            <w:tcW w:w="1740" w:type="dxa"/>
          </w:tcPr>
          <w:p w14:paraId="43A0DA78"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330</w:t>
            </w:r>
          </w:p>
        </w:tc>
        <w:tc>
          <w:tcPr>
            <w:tcW w:w="3664" w:type="dxa"/>
          </w:tcPr>
          <w:p w14:paraId="0CEA0616" w14:textId="77777777" w:rsidR="006C24FF" w:rsidRDefault="006C24FF" w:rsidP="006C24FF">
            <w:pPr>
              <w:pStyle w:val="TableParagraph"/>
              <w:ind w:left="131" w:right="119"/>
              <w:jc w:val="center"/>
              <w:rPr>
                <w:sz w:val="18"/>
              </w:rPr>
            </w:pPr>
            <w:r>
              <w:rPr>
                <w:spacing w:val="-2"/>
                <w:sz w:val="18"/>
              </w:rPr>
              <w:t>Daily</w:t>
            </w:r>
          </w:p>
        </w:tc>
      </w:tr>
      <w:tr w:rsidR="00A97760" w14:paraId="538DF0DF" w14:textId="77777777" w:rsidTr="00A97760">
        <w:trPr>
          <w:trHeight w:val="660"/>
        </w:trPr>
        <w:tc>
          <w:tcPr>
            <w:tcW w:w="1281" w:type="dxa"/>
          </w:tcPr>
          <w:p w14:paraId="36EEE3FF" w14:textId="77777777" w:rsidR="006C24FF" w:rsidRDefault="006C24FF" w:rsidP="006C24FF">
            <w:pPr>
              <w:pStyle w:val="TableParagraph"/>
              <w:ind w:left="220" w:firstLine="81"/>
              <w:rPr>
                <w:sz w:val="18"/>
              </w:rPr>
            </w:pPr>
            <w:r>
              <w:rPr>
                <w:spacing w:val="-2"/>
                <w:sz w:val="18"/>
              </w:rPr>
              <w:lastRenderedPageBreak/>
              <w:t>Pavement Smoothness</w:t>
            </w:r>
          </w:p>
        </w:tc>
        <w:tc>
          <w:tcPr>
            <w:tcW w:w="1648" w:type="dxa"/>
          </w:tcPr>
          <w:p w14:paraId="05AD751F"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6A72E4AD" w14:textId="77777777" w:rsidR="006C24FF" w:rsidRDefault="006C24FF" w:rsidP="006C24FF">
            <w:pPr>
              <w:pStyle w:val="TableParagraph"/>
              <w:ind w:left="605" w:right="192" w:hanging="394"/>
              <w:rPr>
                <w:sz w:val="18"/>
              </w:rPr>
            </w:pPr>
            <w:r>
              <w:rPr>
                <w:sz w:val="18"/>
              </w:rPr>
              <w:t>Rolling</w:t>
            </w:r>
            <w:r>
              <w:rPr>
                <w:spacing w:val="-12"/>
                <w:sz w:val="18"/>
              </w:rPr>
              <w:t xml:space="preserve"> </w:t>
            </w:r>
            <w:r>
              <w:rPr>
                <w:sz w:val="18"/>
              </w:rPr>
              <w:t xml:space="preserve">Straight </w:t>
            </w:r>
            <w:r>
              <w:rPr>
                <w:spacing w:val="-4"/>
                <w:sz w:val="18"/>
              </w:rPr>
              <w:t>Edge</w:t>
            </w:r>
          </w:p>
        </w:tc>
        <w:tc>
          <w:tcPr>
            <w:tcW w:w="1740" w:type="dxa"/>
          </w:tcPr>
          <w:p w14:paraId="54BBA673" w14:textId="77777777" w:rsidR="006C24FF" w:rsidRDefault="006C24FF" w:rsidP="006C24FF">
            <w:pPr>
              <w:pStyle w:val="TableParagraph"/>
              <w:ind w:left="165" w:firstLine="4"/>
              <w:rPr>
                <w:sz w:val="18"/>
              </w:rPr>
            </w:pPr>
            <w:r>
              <w:rPr>
                <w:sz w:val="18"/>
              </w:rPr>
              <w:t>Section</w:t>
            </w:r>
            <w:r>
              <w:rPr>
                <w:spacing w:val="-11"/>
                <w:sz w:val="18"/>
              </w:rPr>
              <w:t xml:space="preserve"> </w:t>
            </w:r>
            <w:r>
              <w:rPr>
                <w:sz w:val="18"/>
              </w:rPr>
              <w:t>330</w:t>
            </w:r>
            <w:r>
              <w:rPr>
                <w:spacing w:val="-10"/>
                <w:sz w:val="18"/>
              </w:rPr>
              <w:t xml:space="preserve"> </w:t>
            </w:r>
            <w:r>
              <w:rPr>
                <w:sz w:val="18"/>
              </w:rPr>
              <w:t>(FM</w:t>
            </w:r>
            <w:r>
              <w:rPr>
                <w:spacing w:val="-10"/>
                <w:sz w:val="18"/>
              </w:rPr>
              <w:t xml:space="preserve"> </w:t>
            </w:r>
            <w:r>
              <w:rPr>
                <w:sz w:val="18"/>
              </w:rPr>
              <w:t>5- 509)</w:t>
            </w:r>
            <w:r>
              <w:rPr>
                <w:spacing w:val="-1"/>
                <w:sz w:val="18"/>
              </w:rPr>
              <w:t xml:space="preserve"> </w:t>
            </w:r>
            <w:r>
              <w:rPr>
                <w:sz w:val="18"/>
              </w:rPr>
              <w:t>Max</w:t>
            </w:r>
            <w:r>
              <w:rPr>
                <w:spacing w:val="-2"/>
                <w:sz w:val="18"/>
              </w:rPr>
              <w:t xml:space="preserve"> </w:t>
            </w:r>
            <w:r>
              <w:rPr>
                <w:sz w:val="18"/>
              </w:rPr>
              <w:t>3/16</w:t>
            </w:r>
            <w:r>
              <w:rPr>
                <w:spacing w:val="-1"/>
                <w:sz w:val="18"/>
              </w:rPr>
              <w:t xml:space="preserve"> </w:t>
            </w:r>
            <w:r>
              <w:rPr>
                <w:spacing w:val="-4"/>
                <w:sz w:val="18"/>
              </w:rPr>
              <w:t>inch</w:t>
            </w:r>
          </w:p>
        </w:tc>
        <w:tc>
          <w:tcPr>
            <w:tcW w:w="3664" w:type="dxa"/>
          </w:tcPr>
          <w:p w14:paraId="3DED6F4E" w14:textId="77777777" w:rsidR="006C24FF" w:rsidRDefault="006C24FF" w:rsidP="006C24FF">
            <w:pPr>
              <w:pStyle w:val="TableParagraph"/>
              <w:rPr>
                <w:b/>
                <w:sz w:val="18"/>
              </w:rPr>
            </w:pPr>
          </w:p>
          <w:p w14:paraId="58D3E1E5" w14:textId="77777777" w:rsidR="006C24FF" w:rsidRDefault="006C24FF" w:rsidP="006C24FF">
            <w:pPr>
              <w:pStyle w:val="TableParagraph"/>
              <w:ind w:left="132" w:right="119"/>
              <w:jc w:val="center"/>
              <w:rPr>
                <w:sz w:val="18"/>
              </w:rPr>
            </w:pPr>
            <w:r>
              <w:rPr>
                <w:sz w:val="18"/>
              </w:rPr>
              <w:t>Final</w:t>
            </w:r>
            <w:r>
              <w:rPr>
                <w:spacing w:val="-2"/>
                <w:sz w:val="18"/>
              </w:rPr>
              <w:t xml:space="preserve"> </w:t>
            </w:r>
            <w:r>
              <w:rPr>
                <w:sz w:val="18"/>
              </w:rPr>
              <w:t>SP</w:t>
            </w:r>
            <w:r>
              <w:rPr>
                <w:spacing w:val="-2"/>
                <w:sz w:val="18"/>
              </w:rPr>
              <w:t xml:space="preserve"> </w:t>
            </w:r>
            <w:r>
              <w:rPr>
                <w:sz w:val="18"/>
              </w:rPr>
              <w:t>structural</w:t>
            </w:r>
            <w:r>
              <w:rPr>
                <w:spacing w:val="-1"/>
                <w:sz w:val="18"/>
              </w:rPr>
              <w:t xml:space="preserve"> </w:t>
            </w:r>
            <w:r>
              <w:rPr>
                <w:sz w:val="18"/>
              </w:rPr>
              <w:t>layer</w:t>
            </w:r>
            <w:r>
              <w:rPr>
                <w:spacing w:val="-2"/>
                <w:sz w:val="18"/>
              </w:rPr>
              <w:t xml:space="preserve"> </w:t>
            </w:r>
            <w:r>
              <w:rPr>
                <w:sz w:val="18"/>
              </w:rPr>
              <w:t>and</w:t>
            </w:r>
            <w:r>
              <w:rPr>
                <w:spacing w:val="-2"/>
                <w:sz w:val="18"/>
              </w:rPr>
              <w:t xml:space="preserve"> </w:t>
            </w:r>
            <w:r>
              <w:rPr>
                <w:sz w:val="18"/>
              </w:rPr>
              <w:t>friction</w:t>
            </w:r>
            <w:r>
              <w:rPr>
                <w:spacing w:val="-1"/>
                <w:sz w:val="18"/>
              </w:rPr>
              <w:t xml:space="preserve"> </w:t>
            </w:r>
            <w:r>
              <w:rPr>
                <w:sz w:val="18"/>
              </w:rPr>
              <w:t>course</w:t>
            </w:r>
            <w:r>
              <w:rPr>
                <w:spacing w:val="-2"/>
                <w:sz w:val="18"/>
              </w:rPr>
              <w:t xml:space="preserve"> </w:t>
            </w:r>
            <w:r>
              <w:rPr>
                <w:spacing w:val="-4"/>
                <w:sz w:val="18"/>
              </w:rPr>
              <w:t>layer</w:t>
            </w:r>
          </w:p>
        </w:tc>
      </w:tr>
      <w:tr w:rsidR="00A97760" w14:paraId="3AEC1D51" w14:textId="77777777" w:rsidTr="00A97760">
        <w:trPr>
          <w:trHeight w:val="1177"/>
        </w:trPr>
        <w:tc>
          <w:tcPr>
            <w:tcW w:w="1281" w:type="dxa"/>
            <w:vMerge w:val="restart"/>
          </w:tcPr>
          <w:p w14:paraId="075E7D52" w14:textId="77777777" w:rsidR="006C24FF" w:rsidRDefault="006C24FF" w:rsidP="006C24FF">
            <w:pPr>
              <w:pStyle w:val="TableParagraph"/>
              <w:rPr>
                <w:b/>
                <w:sz w:val="18"/>
              </w:rPr>
            </w:pPr>
          </w:p>
          <w:p w14:paraId="4EFA7241" w14:textId="77777777" w:rsidR="006C24FF" w:rsidRDefault="006C24FF" w:rsidP="006C24FF">
            <w:pPr>
              <w:pStyle w:val="TableParagraph"/>
              <w:rPr>
                <w:b/>
                <w:sz w:val="18"/>
              </w:rPr>
            </w:pPr>
          </w:p>
          <w:p w14:paraId="78FDFBAE" w14:textId="77777777" w:rsidR="006C24FF" w:rsidRDefault="006C24FF" w:rsidP="006C24FF">
            <w:pPr>
              <w:pStyle w:val="TableParagraph"/>
              <w:rPr>
                <w:b/>
                <w:sz w:val="18"/>
              </w:rPr>
            </w:pPr>
          </w:p>
          <w:p w14:paraId="42AD3AC5" w14:textId="77777777" w:rsidR="006C24FF" w:rsidRDefault="006C24FF" w:rsidP="006C24FF">
            <w:pPr>
              <w:pStyle w:val="TableParagraph"/>
              <w:ind w:left="354"/>
              <w:rPr>
                <w:sz w:val="18"/>
              </w:rPr>
            </w:pPr>
            <w:r>
              <w:rPr>
                <w:spacing w:val="-2"/>
                <w:sz w:val="18"/>
              </w:rPr>
              <w:t>Concrete</w:t>
            </w:r>
          </w:p>
        </w:tc>
        <w:tc>
          <w:tcPr>
            <w:tcW w:w="1648" w:type="dxa"/>
            <w:vMerge w:val="restart"/>
          </w:tcPr>
          <w:p w14:paraId="0AB47B73" w14:textId="77777777" w:rsidR="006C24FF" w:rsidRDefault="006C24FF" w:rsidP="006C24FF">
            <w:pPr>
              <w:pStyle w:val="TableParagraph"/>
              <w:rPr>
                <w:b/>
                <w:sz w:val="18"/>
              </w:rPr>
            </w:pPr>
          </w:p>
          <w:p w14:paraId="48F0A320" w14:textId="77777777" w:rsidR="006C24FF" w:rsidRDefault="006C24FF" w:rsidP="006C24FF">
            <w:pPr>
              <w:pStyle w:val="TableParagraph"/>
              <w:rPr>
                <w:b/>
                <w:sz w:val="18"/>
              </w:rPr>
            </w:pPr>
          </w:p>
          <w:p w14:paraId="52AECCE1"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16F6ADCE" w14:textId="77777777" w:rsidR="006C24FF" w:rsidRDefault="006C24FF" w:rsidP="006C24FF">
            <w:pPr>
              <w:pStyle w:val="TableParagraph"/>
              <w:rPr>
                <w:b/>
                <w:sz w:val="18"/>
              </w:rPr>
            </w:pPr>
          </w:p>
          <w:p w14:paraId="1076780D" w14:textId="77777777" w:rsidR="006C24FF" w:rsidRDefault="006C24FF" w:rsidP="006C24FF">
            <w:pPr>
              <w:pStyle w:val="TableParagraph"/>
              <w:ind w:left="484" w:hanging="173"/>
              <w:rPr>
                <w:sz w:val="18"/>
              </w:rPr>
            </w:pPr>
            <w:r>
              <w:rPr>
                <w:spacing w:val="-2"/>
                <w:sz w:val="18"/>
              </w:rPr>
              <w:t>Compression Strength</w:t>
            </w:r>
          </w:p>
        </w:tc>
        <w:tc>
          <w:tcPr>
            <w:tcW w:w="1740" w:type="dxa"/>
          </w:tcPr>
          <w:p w14:paraId="2BE857C0" w14:textId="77777777" w:rsidR="006C24FF" w:rsidRDefault="006C24FF" w:rsidP="006C24FF">
            <w:pPr>
              <w:pStyle w:val="TableParagraph"/>
              <w:rPr>
                <w:b/>
                <w:sz w:val="18"/>
              </w:rPr>
            </w:pPr>
          </w:p>
          <w:p w14:paraId="0B7B301A" w14:textId="77777777" w:rsidR="006C24FF" w:rsidRDefault="006C24FF" w:rsidP="006C24FF">
            <w:pPr>
              <w:pStyle w:val="TableParagraph"/>
              <w:ind w:left="16" w:right="4"/>
              <w:jc w:val="center"/>
              <w:rPr>
                <w:sz w:val="18"/>
              </w:rPr>
            </w:pPr>
            <w:r>
              <w:rPr>
                <w:sz w:val="18"/>
              </w:rPr>
              <w:t>FDOT</w:t>
            </w:r>
            <w:r>
              <w:rPr>
                <w:spacing w:val="-2"/>
                <w:sz w:val="18"/>
              </w:rPr>
              <w:t xml:space="preserve"> </w:t>
            </w:r>
            <w:r>
              <w:rPr>
                <w:sz w:val="18"/>
              </w:rPr>
              <w:t>Section</w:t>
            </w:r>
            <w:r>
              <w:rPr>
                <w:spacing w:val="-2"/>
                <w:sz w:val="18"/>
              </w:rPr>
              <w:t xml:space="preserve"> </w:t>
            </w:r>
            <w:r>
              <w:rPr>
                <w:spacing w:val="-5"/>
                <w:sz w:val="18"/>
              </w:rPr>
              <w:t>346</w:t>
            </w:r>
          </w:p>
          <w:p w14:paraId="0FF116A3" w14:textId="77777777" w:rsidR="006C24FF" w:rsidRDefault="006C24FF" w:rsidP="006C24FF">
            <w:pPr>
              <w:pStyle w:val="TableParagraph"/>
              <w:ind w:left="16" w:right="2"/>
              <w:jc w:val="center"/>
              <w:rPr>
                <w:sz w:val="18"/>
              </w:rPr>
            </w:pPr>
            <w:r>
              <w:rPr>
                <w:sz w:val="18"/>
              </w:rPr>
              <w:t>and</w:t>
            </w:r>
            <w:r>
              <w:rPr>
                <w:spacing w:val="1"/>
                <w:sz w:val="18"/>
              </w:rPr>
              <w:t xml:space="preserve"> </w:t>
            </w:r>
            <w:r>
              <w:rPr>
                <w:spacing w:val="-5"/>
                <w:sz w:val="18"/>
              </w:rPr>
              <w:t>347</w:t>
            </w:r>
          </w:p>
        </w:tc>
        <w:tc>
          <w:tcPr>
            <w:tcW w:w="3664" w:type="dxa"/>
          </w:tcPr>
          <w:p w14:paraId="2EFE1FBE" w14:textId="00ECA26A" w:rsidR="006C24FF" w:rsidRDefault="006C24FF" w:rsidP="006C24FF">
            <w:pPr>
              <w:pStyle w:val="TableParagraph"/>
              <w:ind w:left="131" w:right="120"/>
              <w:rPr>
                <w:sz w:val="18"/>
              </w:rPr>
            </w:pPr>
            <w:r>
              <w:rPr>
                <w:sz w:val="18"/>
              </w:rPr>
              <w:t>Section</w:t>
            </w:r>
            <w:r>
              <w:rPr>
                <w:spacing w:val="-6"/>
                <w:sz w:val="18"/>
              </w:rPr>
              <w:t xml:space="preserve"> </w:t>
            </w:r>
            <w:r>
              <w:rPr>
                <w:sz w:val="18"/>
              </w:rPr>
              <w:t>347</w:t>
            </w:r>
            <w:r>
              <w:rPr>
                <w:spacing w:val="-4"/>
                <w:sz w:val="18"/>
              </w:rPr>
              <w:t xml:space="preserve"> </w:t>
            </w:r>
            <w:r>
              <w:rPr>
                <w:sz w:val="18"/>
              </w:rPr>
              <w:t>acceptance</w:t>
            </w:r>
            <w:r>
              <w:rPr>
                <w:spacing w:val="-6"/>
                <w:sz w:val="18"/>
              </w:rPr>
              <w:t xml:space="preserve"> </w:t>
            </w:r>
            <w:r>
              <w:rPr>
                <w:sz w:val="18"/>
              </w:rPr>
              <w:t>based</w:t>
            </w:r>
            <w:r>
              <w:rPr>
                <w:spacing w:val="-4"/>
                <w:sz w:val="18"/>
              </w:rPr>
              <w:t xml:space="preserve"> </w:t>
            </w:r>
            <w:r>
              <w:rPr>
                <w:sz w:val="18"/>
              </w:rPr>
              <w:t>on Certification;</w:t>
            </w:r>
            <w:r>
              <w:rPr>
                <w:spacing w:val="-7"/>
                <w:sz w:val="18"/>
              </w:rPr>
              <w:t xml:space="preserve"> </w:t>
            </w:r>
            <w:r>
              <w:rPr>
                <w:sz w:val="18"/>
              </w:rPr>
              <w:t>Section</w:t>
            </w:r>
            <w:r>
              <w:rPr>
                <w:spacing w:val="-6"/>
                <w:sz w:val="18"/>
              </w:rPr>
              <w:t xml:space="preserve"> </w:t>
            </w:r>
            <w:r>
              <w:rPr>
                <w:sz w:val="18"/>
              </w:rPr>
              <w:t>346 One (1) set of cylinders for 10 CY or more per day.</w:t>
            </w:r>
          </w:p>
          <w:p w14:paraId="66147C29" w14:textId="384D1A09" w:rsidR="006C24FF" w:rsidRDefault="006C24FF" w:rsidP="006C24FF">
            <w:pPr>
              <w:pStyle w:val="TableParagraph"/>
              <w:ind w:left="133" w:right="119"/>
              <w:rPr>
                <w:sz w:val="18"/>
              </w:rPr>
            </w:pPr>
            <w:r>
              <w:rPr>
                <w:sz w:val="18"/>
              </w:rPr>
              <w:t>Additional</w:t>
            </w:r>
            <w:r>
              <w:rPr>
                <w:spacing w:val="-4"/>
                <w:sz w:val="18"/>
              </w:rPr>
              <w:t xml:space="preserve"> </w:t>
            </w:r>
            <w:r>
              <w:rPr>
                <w:sz w:val="18"/>
              </w:rPr>
              <w:t>set(s)</w:t>
            </w:r>
            <w:r>
              <w:rPr>
                <w:spacing w:val="-4"/>
                <w:sz w:val="18"/>
              </w:rPr>
              <w:t xml:space="preserve"> </w:t>
            </w:r>
            <w:r>
              <w:rPr>
                <w:sz w:val="18"/>
              </w:rPr>
              <w:t>for</w:t>
            </w:r>
            <w:r>
              <w:rPr>
                <w:spacing w:val="-4"/>
                <w:sz w:val="18"/>
              </w:rPr>
              <w:t xml:space="preserve"> </w:t>
            </w:r>
            <w:r>
              <w:rPr>
                <w:sz w:val="18"/>
              </w:rPr>
              <w:t>each</w:t>
            </w:r>
            <w:r>
              <w:rPr>
                <w:spacing w:val="-3"/>
                <w:sz w:val="18"/>
              </w:rPr>
              <w:t xml:space="preserve"> </w:t>
            </w:r>
            <w:r>
              <w:rPr>
                <w:sz w:val="18"/>
              </w:rPr>
              <w:t>50CY/day. One(1)</w:t>
            </w:r>
            <w:r>
              <w:rPr>
                <w:spacing w:val="-6"/>
                <w:sz w:val="18"/>
              </w:rPr>
              <w:t xml:space="preserve"> </w:t>
            </w:r>
            <w:r>
              <w:rPr>
                <w:sz w:val="18"/>
              </w:rPr>
              <w:t>set</w:t>
            </w:r>
            <w:r>
              <w:rPr>
                <w:spacing w:val="-4"/>
                <w:sz w:val="18"/>
              </w:rPr>
              <w:t xml:space="preserve"> </w:t>
            </w:r>
            <w:r>
              <w:rPr>
                <w:sz w:val="18"/>
              </w:rPr>
              <w:t>for</w:t>
            </w:r>
            <w:r>
              <w:rPr>
                <w:spacing w:val="-4"/>
                <w:sz w:val="18"/>
              </w:rPr>
              <w:t xml:space="preserve"> </w:t>
            </w:r>
            <w:r>
              <w:rPr>
                <w:sz w:val="18"/>
              </w:rPr>
              <w:t>each class of concrete placed each day.</w:t>
            </w:r>
          </w:p>
        </w:tc>
      </w:tr>
      <w:tr w:rsidR="00A97760" w14:paraId="555EFB0F" w14:textId="77777777" w:rsidTr="00A97760">
        <w:trPr>
          <w:trHeight w:val="429"/>
        </w:trPr>
        <w:tc>
          <w:tcPr>
            <w:tcW w:w="1281" w:type="dxa"/>
            <w:vMerge/>
            <w:tcBorders>
              <w:top w:val="nil"/>
            </w:tcBorders>
          </w:tcPr>
          <w:p w14:paraId="0F2D7FE6" w14:textId="77777777" w:rsidR="006C24FF" w:rsidRDefault="006C24FF" w:rsidP="006C24FF">
            <w:pPr>
              <w:spacing w:after="0" w:line="240" w:lineRule="auto"/>
              <w:rPr>
                <w:sz w:val="2"/>
                <w:szCs w:val="2"/>
              </w:rPr>
            </w:pPr>
          </w:p>
        </w:tc>
        <w:tc>
          <w:tcPr>
            <w:tcW w:w="1648" w:type="dxa"/>
            <w:vMerge/>
            <w:tcBorders>
              <w:top w:val="nil"/>
            </w:tcBorders>
          </w:tcPr>
          <w:p w14:paraId="5F905B5E" w14:textId="77777777" w:rsidR="006C24FF" w:rsidRDefault="006C24FF" w:rsidP="006C24FF">
            <w:pPr>
              <w:spacing w:after="0" w:line="240" w:lineRule="auto"/>
              <w:rPr>
                <w:sz w:val="2"/>
                <w:szCs w:val="2"/>
              </w:rPr>
            </w:pPr>
          </w:p>
        </w:tc>
        <w:tc>
          <w:tcPr>
            <w:tcW w:w="1832" w:type="dxa"/>
          </w:tcPr>
          <w:p w14:paraId="400E038F" w14:textId="77777777" w:rsidR="006C24FF" w:rsidRDefault="006C24FF" w:rsidP="006C24FF">
            <w:pPr>
              <w:pStyle w:val="TableParagraph"/>
              <w:ind w:left="297" w:firstLine="16"/>
              <w:rPr>
                <w:sz w:val="18"/>
              </w:rPr>
            </w:pPr>
            <w:r>
              <w:rPr>
                <w:sz w:val="18"/>
              </w:rPr>
              <w:t>Each</w:t>
            </w:r>
            <w:r>
              <w:rPr>
                <w:spacing w:val="-9"/>
                <w:sz w:val="18"/>
              </w:rPr>
              <w:t xml:space="preserve"> </w:t>
            </w:r>
            <w:r>
              <w:rPr>
                <w:sz w:val="18"/>
              </w:rPr>
              <w:t>class</w:t>
            </w:r>
            <w:r>
              <w:rPr>
                <w:spacing w:val="-10"/>
                <w:sz w:val="18"/>
              </w:rPr>
              <w:t xml:space="preserve"> </w:t>
            </w:r>
            <w:r>
              <w:rPr>
                <w:sz w:val="18"/>
              </w:rPr>
              <w:t>of concrete</w:t>
            </w:r>
            <w:r>
              <w:rPr>
                <w:spacing w:val="-2"/>
                <w:sz w:val="18"/>
              </w:rPr>
              <w:t xml:space="preserve"> </w:t>
            </w:r>
            <w:r>
              <w:rPr>
                <w:spacing w:val="-4"/>
                <w:sz w:val="18"/>
              </w:rPr>
              <w:t>used</w:t>
            </w:r>
          </w:p>
        </w:tc>
        <w:tc>
          <w:tcPr>
            <w:tcW w:w="1740" w:type="dxa"/>
          </w:tcPr>
          <w:p w14:paraId="74AB59B1" w14:textId="77777777" w:rsidR="006C24FF" w:rsidRDefault="006C24FF" w:rsidP="006C24FF">
            <w:pPr>
              <w:pStyle w:val="TableParagraph"/>
              <w:ind w:left="16" w:right="1"/>
              <w:jc w:val="center"/>
              <w:rPr>
                <w:sz w:val="18"/>
              </w:rPr>
            </w:pPr>
            <w:r>
              <w:rPr>
                <w:spacing w:val="-2"/>
                <w:sz w:val="18"/>
              </w:rPr>
              <w:t>Certification</w:t>
            </w:r>
          </w:p>
        </w:tc>
        <w:tc>
          <w:tcPr>
            <w:tcW w:w="3664" w:type="dxa"/>
          </w:tcPr>
          <w:p w14:paraId="6C9CC5D9" w14:textId="77777777" w:rsidR="006C24FF" w:rsidRDefault="006C24FF" w:rsidP="006C24FF">
            <w:pPr>
              <w:pStyle w:val="TableParagraph"/>
              <w:ind w:left="15"/>
              <w:jc w:val="center"/>
              <w:rPr>
                <w:sz w:val="18"/>
              </w:rPr>
            </w:pPr>
            <w:r>
              <w:rPr>
                <w:sz w:val="18"/>
              </w:rPr>
              <w:t>Each</w:t>
            </w:r>
            <w:r>
              <w:rPr>
                <w:spacing w:val="-1"/>
                <w:sz w:val="18"/>
              </w:rPr>
              <w:t xml:space="preserve"> </w:t>
            </w:r>
            <w:r>
              <w:rPr>
                <w:sz w:val="18"/>
              </w:rPr>
              <w:t>mix design</w:t>
            </w:r>
            <w:r>
              <w:rPr>
                <w:spacing w:val="-2"/>
                <w:sz w:val="18"/>
              </w:rPr>
              <w:t xml:space="preserve"> </w:t>
            </w:r>
            <w:r>
              <w:rPr>
                <w:sz w:val="18"/>
              </w:rPr>
              <w:t>or</w:t>
            </w:r>
            <w:r>
              <w:rPr>
                <w:spacing w:val="-1"/>
                <w:sz w:val="18"/>
              </w:rPr>
              <w:t xml:space="preserve"> </w:t>
            </w:r>
            <w:r>
              <w:rPr>
                <w:spacing w:val="-2"/>
                <w:sz w:val="18"/>
              </w:rPr>
              <w:t>change</w:t>
            </w:r>
          </w:p>
        </w:tc>
      </w:tr>
      <w:tr w:rsidR="00A97760" w14:paraId="50806B92" w14:textId="77777777" w:rsidTr="00A97760">
        <w:trPr>
          <w:trHeight w:val="417"/>
        </w:trPr>
        <w:tc>
          <w:tcPr>
            <w:tcW w:w="1281" w:type="dxa"/>
            <w:vMerge w:val="restart"/>
          </w:tcPr>
          <w:p w14:paraId="37D25793" w14:textId="77777777" w:rsidR="006C24FF" w:rsidRDefault="006C24FF" w:rsidP="006C24FF">
            <w:pPr>
              <w:pStyle w:val="TableParagraph"/>
              <w:rPr>
                <w:b/>
                <w:sz w:val="18"/>
              </w:rPr>
            </w:pPr>
          </w:p>
          <w:p w14:paraId="1B76762D" w14:textId="77777777" w:rsidR="006C24FF" w:rsidRDefault="006C24FF" w:rsidP="006C24FF">
            <w:pPr>
              <w:pStyle w:val="TableParagraph"/>
              <w:rPr>
                <w:b/>
                <w:sz w:val="18"/>
              </w:rPr>
            </w:pPr>
          </w:p>
          <w:p w14:paraId="2AA052AC" w14:textId="77777777" w:rsidR="006C24FF" w:rsidRDefault="006C24FF" w:rsidP="006C24FF">
            <w:pPr>
              <w:pStyle w:val="TableParagraph"/>
              <w:rPr>
                <w:b/>
                <w:sz w:val="18"/>
              </w:rPr>
            </w:pPr>
          </w:p>
          <w:p w14:paraId="63905E68" w14:textId="77777777" w:rsidR="006C24FF" w:rsidRDefault="006C24FF" w:rsidP="006C24FF">
            <w:pPr>
              <w:pStyle w:val="TableParagraph"/>
              <w:rPr>
                <w:b/>
                <w:sz w:val="18"/>
              </w:rPr>
            </w:pPr>
          </w:p>
          <w:p w14:paraId="3482B863" w14:textId="77777777" w:rsidR="006C24FF" w:rsidRDefault="006C24FF" w:rsidP="006C24FF">
            <w:pPr>
              <w:pStyle w:val="TableParagraph"/>
              <w:rPr>
                <w:b/>
                <w:sz w:val="18"/>
              </w:rPr>
            </w:pPr>
          </w:p>
          <w:p w14:paraId="15E88A6E" w14:textId="77777777" w:rsidR="006C24FF" w:rsidRDefault="006C24FF" w:rsidP="006C24FF">
            <w:pPr>
              <w:pStyle w:val="TableParagraph"/>
              <w:ind w:left="177"/>
              <w:rPr>
                <w:sz w:val="18"/>
              </w:rPr>
            </w:pPr>
            <w:r>
              <w:rPr>
                <w:spacing w:val="-2"/>
                <w:sz w:val="18"/>
              </w:rPr>
              <w:t>Embankment</w:t>
            </w:r>
          </w:p>
        </w:tc>
        <w:tc>
          <w:tcPr>
            <w:tcW w:w="1648" w:type="dxa"/>
            <w:vMerge w:val="restart"/>
          </w:tcPr>
          <w:p w14:paraId="151356FC" w14:textId="77777777" w:rsidR="006C24FF" w:rsidRDefault="006C24FF" w:rsidP="006C24FF">
            <w:pPr>
              <w:pStyle w:val="TableParagraph"/>
              <w:rPr>
                <w:b/>
                <w:sz w:val="18"/>
              </w:rPr>
            </w:pPr>
          </w:p>
          <w:p w14:paraId="21FCBDCB" w14:textId="77777777" w:rsidR="006C24FF" w:rsidRDefault="006C24FF" w:rsidP="006C24FF">
            <w:pPr>
              <w:pStyle w:val="TableParagraph"/>
              <w:rPr>
                <w:b/>
                <w:sz w:val="18"/>
              </w:rPr>
            </w:pPr>
          </w:p>
          <w:p w14:paraId="7809C9B8" w14:textId="77777777" w:rsidR="006C24FF" w:rsidRDefault="006C24FF" w:rsidP="006C24FF">
            <w:pPr>
              <w:pStyle w:val="TableParagraph"/>
              <w:rPr>
                <w:b/>
                <w:sz w:val="18"/>
              </w:rPr>
            </w:pPr>
          </w:p>
          <w:p w14:paraId="2A8C81CB" w14:textId="77777777" w:rsidR="006C24FF" w:rsidRDefault="006C24FF" w:rsidP="006C24FF">
            <w:pPr>
              <w:pStyle w:val="TableParagraph"/>
              <w:rPr>
                <w:b/>
                <w:sz w:val="18"/>
              </w:rPr>
            </w:pPr>
          </w:p>
          <w:p w14:paraId="6B5C1C97"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47C1B083" w14:textId="77777777" w:rsidR="006C24FF" w:rsidRDefault="006C24FF" w:rsidP="006C24FF">
            <w:pPr>
              <w:pStyle w:val="TableParagraph"/>
              <w:ind w:left="225" w:right="165" w:hanging="46"/>
              <w:rPr>
                <w:sz w:val="18"/>
              </w:rPr>
            </w:pPr>
            <w:r>
              <w:rPr>
                <w:sz w:val="18"/>
              </w:rPr>
              <w:t>Standard</w:t>
            </w:r>
            <w:r>
              <w:rPr>
                <w:spacing w:val="-12"/>
                <w:sz w:val="18"/>
              </w:rPr>
              <w:t xml:space="preserve"> </w:t>
            </w:r>
            <w:r>
              <w:rPr>
                <w:sz w:val="18"/>
              </w:rPr>
              <w:t>Proctor AASHTO</w:t>
            </w:r>
            <w:r>
              <w:rPr>
                <w:spacing w:val="-3"/>
                <w:sz w:val="18"/>
              </w:rPr>
              <w:t xml:space="preserve"> </w:t>
            </w:r>
            <w:r>
              <w:rPr>
                <w:sz w:val="18"/>
              </w:rPr>
              <w:t>T-</w:t>
            </w:r>
            <w:r>
              <w:rPr>
                <w:spacing w:val="-5"/>
                <w:sz w:val="18"/>
              </w:rPr>
              <w:t>99</w:t>
            </w:r>
          </w:p>
        </w:tc>
        <w:tc>
          <w:tcPr>
            <w:tcW w:w="1740" w:type="dxa"/>
          </w:tcPr>
          <w:p w14:paraId="6C9D5B8B"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120</w:t>
            </w:r>
          </w:p>
        </w:tc>
        <w:tc>
          <w:tcPr>
            <w:tcW w:w="3664" w:type="dxa"/>
          </w:tcPr>
          <w:p w14:paraId="6BCDC80C" w14:textId="77777777" w:rsidR="006C24FF" w:rsidRDefault="006C24FF" w:rsidP="006C24FF">
            <w:pPr>
              <w:pStyle w:val="TableParagraph"/>
              <w:ind w:left="132" w:right="119"/>
              <w:jc w:val="center"/>
              <w:rPr>
                <w:sz w:val="18"/>
              </w:rPr>
            </w:pPr>
            <w:r>
              <w:rPr>
                <w:sz w:val="18"/>
              </w:rPr>
              <w:t>Per</w:t>
            </w:r>
            <w:r>
              <w:rPr>
                <w:spacing w:val="-5"/>
                <w:sz w:val="18"/>
              </w:rPr>
              <w:t xml:space="preserve"> </w:t>
            </w:r>
            <w:r>
              <w:rPr>
                <w:sz w:val="18"/>
              </w:rPr>
              <w:t>material</w:t>
            </w:r>
            <w:r>
              <w:rPr>
                <w:spacing w:val="-2"/>
                <w:sz w:val="18"/>
              </w:rPr>
              <w:t xml:space="preserve"> </w:t>
            </w:r>
            <w:r>
              <w:rPr>
                <w:spacing w:val="-4"/>
                <w:sz w:val="18"/>
              </w:rPr>
              <w:t>type</w:t>
            </w:r>
          </w:p>
        </w:tc>
      </w:tr>
      <w:tr w:rsidR="00A97760" w14:paraId="7D12453A" w14:textId="77777777" w:rsidTr="00A97760">
        <w:trPr>
          <w:trHeight w:val="1890"/>
        </w:trPr>
        <w:tc>
          <w:tcPr>
            <w:tcW w:w="1281" w:type="dxa"/>
            <w:vMerge/>
            <w:tcBorders>
              <w:top w:val="nil"/>
            </w:tcBorders>
          </w:tcPr>
          <w:p w14:paraId="69AB9993" w14:textId="77777777" w:rsidR="006C24FF" w:rsidRDefault="006C24FF" w:rsidP="006C24FF">
            <w:pPr>
              <w:spacing w:after="0" w:line="240" w:lineRule="auto"/>
              <w:rPr>
                <w:sz w:val="2"/>
                <w:szCs w:val="2"/>
              </w:rPr>
            </w:pPr>
          </w:p>
        </w:tc>
        <w:tc>
          <w:tcPr>
            <w:tcW w:w="1648" w:type="dxa"/>
            <w:vMerge/>
            <w:tcBorders>
              <w:top w:val="nil"/>
            </w:tcBorders>
          </w:tcPr>
          <w:p w14:paraId="772F9EED" w14:textId="77777777" w:rsidR="006C24FF" w:rsidRDefault="006C24FF" w:rsidP="006C24FF">
            <w:pPr>
              <w:spacing w:after="0" w:line="240" w:lineRule="auto"/>
              <w:rPr>
                <w:sz w:val="2"/>
                <w:szCs w:val="2"/>
              </w:rPr>
            </w:pPr>
          </w:p>
        </w:tc>
        <w:tc>
          <w:tcPr>
            <w:tcW w:w="1832" w:type="dxa"/>
          </w:tcPr>
          <w:p w14:paraId="78F0D3F8" w14:textId="77777777" w:rsidR="006C24FF" w:rsidRDefault="006C24FF" w:rsidP="006C24FF">
            <w:pPr>
              <w:pStyle w:val="TableParagraph"/>
              <w:rPr>
                <w:b/>
                <w:sz w:val="18"/>
              </w:rPr>
            </w:pPr>
          </w:p>
          <w:p w14:paraId="4A00C442" w14:textId="77777777" w:rsidR="006C24FF" w:rsidRDefault="006C24FF" w:rsidP="006C24FF">
            <w:pPr>
              <w:pStyle w:val="TableParagraph"/>
              <w:rPr>
                <w:b/>
                <w:sz w:val="18"/>
              </w:rPr>
            </w:pPr>
          </w:p>
          <w:p w14:paraId="1A75F8DD" w14:textId="77777777" w:rsidR="006C24FF" w:rsidRDefault="006C24FF" w:rsidP="006C24FF">
            <w:pPr>
              <w:pStyle w:val="TableParagraph"/>
              <w:rPr>
                <w:b/>
                <w:sz w:val="18"/>
              </w:rPr>
            </w:pPr>
          </w:p>
          <w:p w14:paraId="3AD8E471" w14:textId="77777777" w:rsidR="006C24FF" w:rsidRDefault="006C24FF" w:rsidP="006C24FF">
            <w:pPr>
              <w:pStyle w:val="TableParagraph"/>
              <w:ind w:left="15" w:right="2"/>
              <w:jc w:val="center"/>
              <w:rPr>
                <w:sz w:val="18"/>
              </w:rPr>
            </w:pPr>
            <w:r>
              <w:rPr>
                <w:sz w:val="18"/>
              </w:rPr>
              <w:t xml:space="preserve">Field </w:t>
            </w:r>
            <w:r>
              <w:rPr>
                <w:spacing w:val="-2"/>
                <w:sz w:val="18"/>
              </w:rPr>
              <w:t>Density</w:t>
            </w:r>
          </w:p>
        </w:tc>
        <w:tc>
          <w:tcPr>
            <w:tcW w:w="1740" w:type="dxa"/>
          </w:tcPr>
          <w:p w14:paraId="2DC098B2" w14:textId="77777777" w:rsidR="006C24FF" w:rsidRDefault="006C24FF" w:rsidP="006C24FF">
            <w:pPr>
              <w:pStyle w:val="TableParagraph"/>
              <w:rPr>
                <w:b/>
                <w:sz w:val="18"/>
              </w:rPr>
            </w:pPr>
          </w:p>
          <w:p w14:paraId="50AEAFBE" w14:textId="77777777" w:rsidR="006C24FF" w:rsidRDefault="006C24FF" w:rsidP="006C24FF">
            <w:pPr>
              <w:pStyle w:val="TableParagraph"/>
              <w:rPr>
                <w:b/>
                <w:sz w:val="18"/>
              </w:rPr>
            </w:pPr>
          </w:p>
          <w:p w14:paraId="5898E603" w14:textId="77777777" w:rsidR="006C24FF" w:rsidRDefault="006C24FF" w:rsidP="006C24FF">
            <w:pPr>
              <w:pStyle w:val="TableParagraph"/>
              <w:rPr>
                <w:b/>
                <w:sz w:val="18"/>
              </w:rPr>
            </w:pPr>
          </w:p>
          <w:p w14:paraId="7CBCE0B2" w14:textId="77777777" w:rsidR="006C24FF" w:rsidRDefault="006C24FF" w:rsidP="006C24FF">
            <w:pPr>
              <w:pStyle w:val="TableParagraph"/>
              <w:ind w:left="182" w:firstLine="28"/>
              <w:rPr>
                <w:sz w:val="18"/>
              </w:rPr>
            </w:pPr>
            <w:r>
              <w:rPr>
                <w:sz w:val="18"/>
              </w:rPr>
              <w:t>Section</w:t>
            </w:r>
            <w:r>
              <w:rPr>
                <w:spacing w:val="-12"/>
                <w:sz w:val="18"/>
              </w:rPr>
              <w:t xml:space="preserve"> </w:t>
            </w:r>
            <w:r>
              <w:rPr>
                <w:sz w:val="18"/>
              </w:rPr>
              <w:t>120</w:t>
            </w:r>
            <w:r>
              <w:rPr>
                <w:spacing w:val="-11"/>
                <w:sz w:val="18"/>
              </w:rPr>
              <w:t xml:space="preserve"> </w:t>
            </w:r>
            <w:r>
              <w:rPr>
                <w:sz w:val="18"/>
              </w:rPr>
              <w:t>-100% AASHTO</w:t>
            </w:r>
            <w:r>
              <w:rPr>
                <w:spacing w:val="-3"/>
                <w:sz w:val="18"/>
              </w:rPr>
              <w:t xml:space="preserve"> </w:t>
            </w:r>
            <w:r>
              <w:rPr>
                <w:sz w:val="18"/>
              </w:rPr>
              <w:t>T-</w:t>
            </w:r>
            <w:r>
              <w:rPr>
                <w:spacing w:val="-2"/>
                <w:sz w:val="18"/>
              </w:rPr>
              <w:t>99180</w:t>
            </w:r>
          </w:p>
        </w:tc>
        <w:tc>
          <w:tcPr>
            <w:tcW w:w="3664" w:type="dxa"/>
            <w:tcBorders>
              <w:bottom w:val="nil"/>
            </w:tcBorders>
          </w:tcPr>
          <w:p w14:paraId="7505042C" w14:textId="77777777" w:rsidR="006C24FF" w:rsidRDefault="006C24FF" w:rsidP="006C24FF">
            <w:pPr>
              <w:pStyle w:val="TableParagraph"/>
              <w:ind w:left="384" w:right="368"/>
              <w:jc w:val="center"/>
              <w:rPr>
                <w:sz w:val="18"/>
              </w:rPr>
            </w:pPr>
            <w:r>
              <w:rPr>
                <w:sz w:val="18"/>
              </w:rPr>
              <w:t>Section</w:t>
            </w:r>
            <w:r>
              <w:rPr>
                <w:spacing w:val="-4"/>
                <w:sz w:val="18"/>
              </w:rPr>
              <w:t xml:space="preserve"> </w:t>
            </w:r>
            <w:r>
              <w:rPr>
                <w:sz w:val="18"/>
              </w:rPr>
              <w:t>120-One</w:t>
            </w:r>
            <w:r>
              <w:rPr>
                <w:spacing w:val="-4"/>
                <w:sz w:val="18"/>
              </w:rPr>
              <w:t xml:space="preserve"> </w:t>
            </w:r>
            <w:r>
              <w:rPr>
                <w:sz w:val="18"/>
              </w:rPr>
              <w:t>test</w:t>
            </w:r>
            <w:r>
              <w:rPr>
                <w:spacing w:val="-5"/>
                <w:sz w:val="18"/>
              </w:rPr>
              <w:t xml:space="preserve"> </w:t>
            </w:r>
            <w:r>
              <w:rPr>
                <w:sz w:val="18"/>
              </w:rPr>
              <w:t>per</w:t>
            </w:r>
            <w:r>
              <w:rPr>
                <w:spacing w:val="-3"/>
                <w:sz w:val="18"/>
              </w:rPr>
              <w:t xml:space="preserve"> </w:t>
            </w:r>
            <w:r>
              <w:rPr>
                <w:sz w:val="18"/>
              </w:rPr>
              <w:t>500</w:t>
            </w:r>
            <w:r>
              <w:rPr>
                <w:spacing w:val="-4"/>
                <w:sz w:val="18"/>
              </w:rPr>
              <w:t xml:space="preserve"> </w:t>
            </w:r>
            <w:r>
              <w:rPr>
                <w:sz w:val="18"/>
              </w:rPr>
              <w:t>LF</w:t>
            </w:r>
            <w:r>
              <w:rPr>
                <w:spacing w:val="-5"/>
                <w:sz w:val="18"/>
              </w:rPr>
              <w:t xml:space="preserve"> </w:t>
            </w:r>
            <w:r>
              <w:rPr>
                <w:sz w:val="18"/>
              </w:rPr>
              <w:t>per</w:t>
            </w:r>
            <w:r>
              <w:rPr>
                <w:spacing w:val="-3"/>
                <w:sz w:val="18"/>
              </w:rPr>
              <w:t xml:space="preserve"> </w:t>
            </w:r>
            <w:r>
              <w:rPr>
                <w:sz w:val="18"/>
              </w:rPr>
              <w:t>12”</w:t>
            </w:r>
            <w:r>
              <w:rPr>
                <w:spacing w:val="-6"/>
                <w:sz w:val="18"/>
              </w:rPr>
              <w:t xml:space="preserve"> </w:t>
            </w:r>
            <w:r>
              <w:rPr>
                <w:sz w:val="18"/>
              </w:rPr>
              <w:t>lift</w:t>
            </w:r>
            <w:r>
              <w:rPr>
                <w:spacing w:val="-5"/>
                <w:sz w:val="18"/>
              </w:rPr>
              <w:t xml:space="preserve"> </w:t>
            </w:r>
            <w:r>
              <w:rPr>
                <w:sz w:val="18"/>
              </w:rPr>
              <w:t xml:space="preserve">of </w:t>
            </w:r>
            <w:r>
              <w:rPr>
                <w:spacing w:val="-2"/>
                <w:sz w:val="18"/>
              </w:rPr>
              <w:t>embankment</w:t>
            </w:r>
          </w:p>
          <w:p w14:paraId="5C7E0165" w14:textId="77777777" w:rsidR="006C24FF" w:rsidRPr="006C24FF" w:rsidRDefault="006C24FF" w:rsidP="006C24FF">
            <w:pPr>
              <w:pStyle w:val="TableParagraph"/>
              <w:rPr>
                <w:b/>
                <w:sz w:val="8"/>
                <w:szCs w:val="8"/>
              </w:rPr>
            </w:pPr>
          </w:p>
          <w:p w14:paraId="690871CE" w14:textId="77777777" w:rsidR="006C24FF" w:rsidRDefault="006C24FF" w:rsidP="006C24FF">
            <w:pPr>
              <w:pStyle w:val="TableParagraph"/>
              <w:ind w:left="131" w:right="119"/>
              <w:jc w:val="center"/>
              <w:rPr>
                <w:sz w:val="18"/>
              </w:rPr>
            </w:pPr>
            <w:r>
              <w:rPr>
                <w:sz w:val="18"/>
              </w:rPr>
              <w:t>Section</w:t>
            </w:r>
            <w:r>
              <w:rPr>
                <w:spacing w:val="-4"/>
                <w:sz w:val="18"/>
              </w:rPr>
              <w:t xml:space="preserve"> </w:t>
            </w:r>
            <w:r>
              <w:rPr>
                <w:sz w:val="18"/>
              </w:rPr>
              <w:t>125-One</w:t>
            </w:r>
            <w:r>
              <w:rPr>
                <w:spacing w:val="-4"/>
                <w:sz w:val="18"/>
              </w:rPr>
              <w:t xml:space="preserve"> </w:t>
            </w:r>
            <w:r>
              <w:rPr>
                <w:sz w:val="18"/>
              </w:rPr>
              <w:t>test</w:t>
            </w:r>
            <w:r>
              <w:rPr>
                <w:spacing w:val="-5"/>
                <w:sz w:val="18"/>
              </w:rPr>
              <w:t xml:space="preserve"> </w:t>
            </w:r>
            <w:r>
              <w:rPr>
                <w:sz w:val="18"/>
              </w:rPr>
              <w:t>per</w:t>
            </w:r>
            <w:r>
              <w:rPr>
                <w:spacing w:val="-3"/>
                <w:sz w:val="18"/>
              </w:rPr>
              <w:t xml:space="preserve"> </w:t>
            </w:r>
            <w:r>
              <w:rPr>
                <w:sz w:val="18"/>
              </w:rPr>
              <w:t>300</w:t>
            </w:r>
            <w:r>
              <w:rPr>
                <w:spacing w:val="-4"/>
                <w:sz w:val="18"/>
              </w:rPr>
              <w:t xml:space="preserve"> </w:t>
            </w:r>
            <w:r>
              <w:rPr>
                <w:sz w:val="18"/>
              </w:rPr>
              <w:t>LF</w:t>
            </w:r>
            <w:r>
              <w:rPr>
                <w:spacing w:val="-5"/>
                <w:sz w:val="18"/>
              </w:rPr>
              <w:t xml:space="preserve"> </w:t>
            </w:r>
            <w:r>
              <w:rPr>
                <w:sz w:val="18"/>
              </w:rPr>
              <w:t>of</w:t>
            </w:r>
            <w:r>
              <w:rPr>
                <w:spacing w:val="-3"/>
                <w:sz w:val="18"/>
              </w:rPr>
              <w:t xml:space="preserve"> </w:t>
            </w:r>
            <w:r>
              <w:rPr>
                <w:sz w:val="18"/>
              </w:rPr>
              <w:t>pipe</w:t>
            </w:r>
            <w:r>
              <w:rPr>
                <w:spacing w:val="-4"/>
                <w:sz w:val="18"/>
              </w:rPr>
              <w:t xml:space="preserve"> </w:t>
            </w:r>
            <w:r>
              <w:rPr>
                <w:sz w:val="18"/>
              </w:rPr>
              <w:t>trench</w:t>
            </w:r>
            <w:r>
              <w:rPr>
                <w:spacing w:val="-4"/>
                <w:sz w:val="18"/>
              </w:rPr>
              <w:t xml:space="preserve"> </w:t>
            </w:r>
            <w:r>
              <w:rPr>
                <w:sz w:val="18"/>
              </w:rPr>
              <w:t>(or</w:t>
            </w:r>
            <w:r>
              <w:rPr>
                <w:spacing w:val="-5"/>
                <w:sz w:val="18"/>
              </w:rPr>
              <w:t xml:space="preserve"> </w:t>
            </w:r>
            <w:r>
              <w:rPr>
                <w:sz w:val="18"/>
              </w:rPr>
              <w:t>between structures) per 6’ lift until 1 ft above pipe; 12” lift of backfill 1 ft above pipe</w:t>
            </w:r>
          </w:p>
          <w:p w14:paraId="0402DE2E" w14:textId="77777777" w:rsidR="006C24FF" w:rsidRDefault="006C24FF" w:rsidP="006C24FF">
            <w:pPr>
              <w:pStyle w:val="TableParagraph"/>
              <w:ind w:left="436" w:hanging="164"/>
              <w:rPr>
                <w:sz w:val="18"/>
              </w:rPr>
            </w:pPr>
            <w:r>
              <w:rPr>
                <w:sz w:val="18"/>
              </w:rPr>
              <w:t>Section</w:t>
            </w:r>
            <w:r>
              <w:rPr>
                <w:spacing w:val="-4"/>
                <w:sz w:val="18"/>
              </w:rPr>
              <w:t xml:space="preserve"> </w:t>
            </w:r>
            <w:r>
              <w:rPr>
                <w:sz w:val="18"/>
              </w:rPr>
              <w:t>125</w:t>
            </w:r>
            <w:r>
              <w:rPr>
                <w:spacing w:val="-2"/>
                <w:sz w:val="18"/>
              </w:rPr>
              <w:t xml:space="preserve"> </w:t>
            </w:r>
            <w:r>
              <w:rPr>
                <w:sz w:val="18"/>
              </w:rPr>
              <w:t>(modified)</w:t>
            </w:r>
            <w:r>
              <w:rPr>
                <w:spacing w:val="-5"/>
                <w:sz w:val="18"/>
              </w:rPr>
              <w:t xml:space="preserve"> </w:t>
            </w:r>
            <w:r>
              <w:rPr>
                <w:sz w:val="18"/>
              </w:rPr>
              <w:t>One</w:t>
            </w:r>
            <w:r>
              <w:rPr>
                <w:spacing w:val="-4"/>
                <w:sz w:val="18"/>
              </w:rPr>
              <w:t xml:space="preserve"> </w:t>
            </w:r>
            <w:r>
              <w:rPr>
                <w:sz w:val="18"/>
              </w:rPr>
              <w:t>test</w:t>
            </w:r>
            <w:r>
              <w:rPr>
                <w:spacing w:val="-3"/>
                <w:sz w:val="18"/>
              </w:rPr>
              <w:t xml:space="preserve"> </w:t>
            </w:r>
            <w:r>
              <w:rPr>
                <w:sz w:val="18"/>
              </w:rPr>
              <w:t>per</w:t>
            </w:r>
            <w:r>
              <w:rPr>
                <w:spacing w:val="-3"/>
                <w:sz w:val="18"/>
              </w:rPr>
              <w:t xml:space="preserve"> </w:t>
            </w:r>
            <w:r>
              <w:rPr>
                <w:sz w:val="18"/>
              </w:rPr>
              <w:t>12”</w:t>
            </w:r>
            <w:r>
              <w:rPr>
                <w:spacing w:val="-4"/>
                <w:sz w:val="18"/>
              </w:rPr>
              <w:t xml:space="preserve"> </w:t>
            </w:r>
            <w:r>
              <w:rPr>
                <w:sz w:val="18"/>
              </w:rPr>
              <w:t>lift</w:t>
            </w:r>
            <w:r>
              <w:rPr>
                <w:spacing w:val="-5"/>
                <w:sz w:val="18"/>
              </w:rPr>
              <w:t xml:space="preserve"> </w:t>
            </w:r>
            <w:r>
              <w:rPr>
                <w:sz w:val="18"/>
              </w:rPr>
              <w:t>of</w:t>
            </w:r>
            <w:r>
              <w:rPr>
                <w:spacing w:val="-3"/>
                <w:sz w:val="18"/>
              </w:rPr>
              <w:t xml:space="preserve"> </w:t>
            </w:r>
            <w:r>
              <w:rPr>
                <w:sz w:val="18"/>
              </w:rPr>
              <w:t>structure backfill alternating sides</w:t>
            </w:r>
          </w:p>
        </w:tc>
      </w:tr>
      <w:tr w:rsidR="00A97760" w14:paraId="5BC8C1C2" w14:textId="77777777" w:rsidTr="00A97760">
        <w:trPr>
          <w:trHeight w:val="417"/>
        </w:trPr>
        <w:tc>
          <w:tcPr>
            <w:tcW w:w="1281" w:type="dxa"/>
            <w:vMerge w:val="restart"/>
          </w:tcPr>
          <w:p w14:paraId="40F6BCF4" w14:textId="77777777" w:rsidR="006C24FF" w:rsidRDefault="006C24FF" w:rsidP="006C24FF">
            <w:pPr>
              <w:pStyle w:val="TableParagraph"/>
              <w:rPr>
                <w:b/>
                <w:sz w:val="18"/>
              </w:rPr>
            </w:pPr>
          </w:p>
          <w:p w14:paraId="54BBB248" w14:textId="77777777" w:rsidR="006C24FF" w:rsidRDefault="006C24FF" w:rsidP="006C24FF">
            <w:pPr>
              <w:pStyle w:val="TableParagraph"/>
              <w:ind w:left="316" w:right="92" w:hanging="70"/>
              <w:rPr>
                <w:sz w:val="18"/>
              </w:rPr>
            </w:pPr>
            <w:r>
              <w:rPr>
                <w:spacing w:val="-2"/>
                <w:sz w:val="18"/>
              </w:rPr>
              <w:t>Compacted Subgrade</w:t>
            </w:r>
          </w:p>
        </w:tc>
        <w:tc>
          <w:tcPr>
            <w:tcW w:w="1648" w:type="dxa"/>
            <w:vMerge w:val="restart"/>
          </w:tcPr>
          <w:p w14:paraId="3FB36599" w14:textId="77777777" w:rsidR="006C24FF" w:rsidRDefault="006C24FF" w:rsidP="006C24FF">
            <w:pPr>
              <w:pStyle w:val="TableParagraph"/>
              <w:rPr>
                <w:b/>
                <w:sz w:val="18"/>
              </w:rPr>
            </w:pPr>
          </w:p>
          <w:p w14:paraId="604D7892"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171758A6" w14:textId="77777777" w:rsidR="006C24FF" w:rsidRDefault="006C24FF" w:rsidP="006C24FF">
            <w:pPr>
              <w:pStyle w:val="TableParagraph"/>
              <w:ind w:left="225" w:right="163" w:hanging="44"/>
              <w:rPr>
                <w:sz w:val="18"/>
              </w:rPr>
            </w:pPr>
            <w:r>
              <w:rPr>
                <w:sz w:val="18"/>
              </w:rPr>
              <w:t>Standard</w:t>
            </w:r>
            <w:r>
              <w:rPr>
                <w:spacing w:val="-12"/>
                <w:sz w:val="18"/>
              </w:rPr>
              <w:t xml:space="preserve"> </w:t>
            </w:r>
            <w:r>
              <w:rPr>
                <w:sz w:val="18"/>
              </w:rPr>
              <w:t>Proctor AASHTO</w:t>
            </w:r>
            <w:r>
              <w:rPr>
                <w:spacing w:val="-5"/>
                <w:sz w:val="18"/>
              </w:rPr>
              <w:t xml:space="preserve"> </w:t>
            </w:r>
            <w:r>
              <w:rPr>
                <w:sz w:val="18"/>
              </w:rPr>
              <w:t>T-</w:t>
            </w:r>
            <w:r>
              <w:rPr>
                <w:spacing w:val="-5"/>
                <w:sz w:val="18"/>
              </w:rPr>
              <w:t>99</w:t>
            </w:r>
          </w:p>
        </w:tc>
        <w:tc>
          <w:tcPr>
            <w:tcW w:w="1740" w:type="dxa"/>
          </w:tcPr>
          <w:p w14:paraId="75B0A973"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120</w:t>
            </w:r>
          </w:p>
        </w:tc>
        <w:tc>
          <w:tcPr>
            <w:tcW w:w="3664" w:type="dxa"/>
            <w:tcBorders>
              <w:top w:val="nil"/>
            </w:tcBorders>
          </w:tcPr>
          <w:p w14:paraId="1561961E" w14:textId="77777777" w:rsidR="006C24FF" w:rsidRDefault="006C24FF" w:rsidP="006C24FF">
            <w:pPr>
              <w:pStyle w:val="TableParagraph"/>
              <w:ind w:left="132" w:right="119"/>
              <w:jc w:val="center"/>
              <w:rPr>
                <w:sz w:val="18"/>
              </w:rPr>
            </w:pPr>
            <w:r>
              <w:rPr>
                <w:sz w:val="18"/>
              </w:rPr>
              <w:t>One</w:t>
            </w:r>
            <w:r>
              <w:rPr>
                <w:spacing w:val="-5"/>
                <w:sz w:val="18"/>
              </w:rPr>
              <w:t xml:space="preserve"> </w:t>
            </w:r>
            <w:r>
              <w:rPr>
                <w:sz w:val="18"/>
              </w:rPr>
              <w:t>per</w:t>
            </w:r>
            <w:r>
              <w:rPr>
                <w:spacing w:val="-1"/>
                <w:sz w:val="18"/>
              </w:rPr>
              <w:t xml:space="preserve"> </w:t>
            </w:r>
            <w:r>
              <w:rPr>
                <w:sz w:val="18"/>
              </w:rPr>
              <w:t>material</w:t>
            </w:r>
            <w:r>
              <w:rPr>
                <w:spacing w:val="-1"/>
                <w:sz w:val="18"/>
              </w:rPr>
              <w:t xml:space="preserve"> </w:t>
            </w:r>
            <w:r>
              <w:rPr>
                <w:spacing w:val="-4"/>
                <w:sz w:val="18"/>
              </w:rPr>
              <w:t>type</w:t>
            </w:r>
          </w:p>
        </w:tc>
      </w:tr>
      <w:tr w:rsidR="00A97760" w14:paraId="60E76BA3" w14:textId="77777777" w:rsidTr="00A97760">
        <w:trPr>
          <w:trHeight w:val="629"/>
        </w:trPr>
        <w:tc>
          <w:tcPr>
            <w:tcW w:w="1281" w:type="dxa"/>
            <w:vMerge/>
            <w:tcBorders>
              <w:top w:val="nil"/>
            </w:tcBorders>
          </w:tcPr>
          <w:p w14:paraId="3FBE068B" w14:textId="77777777" w:rsidR="006C24FF" w:rsidRDefault="006C24FF" w:rsidP="006C24FF">
            <w:pPr>
              <w:spacing w:after="0" w:line="240" w:lineRule="auto"/>
              <w:rPr>
                <w:sz w:val="2"/>
                <w:szCs w:val="2"/>
              </w:rPr>
            </w:pPr>
          </w:p>
        </w:tc>
        <w:tc>
          <w:tcPr>
            <w:tcW w:w="1648" w:type="dxa"/>
            <w:vMerge/>
            <w:tcBorders>
              <w:top w:val="nil"/>
            </w:tcBorders>
          </w:tcPr>
          <w:p w14:paraId="780DDEE1" w14:textId="77777777" w:rsidR="006C24FF" w:rsidRDefault="006C24FF" w:rsidP="006C24FF">
            <w:pPr>
              <w:spacing w:after="0" w:line="240" w:lineRule="auto"/>
              <w:rPr>
                <w:sz w:val="2"/>
                <w:szCs w:val="2"/>
              </w:rPr>
            </w:pPr>
          </w:p>
        </w:tc>
        <w:tc>
          <w:tcPr>
            <w:tcW w:w="1832" w:type="dxa"/>
          </w:tcPr>
          <w:p w14:paraId="472C5C84" w14:textId="77777777" w:rsidR="006C24FF" w:rsidRDefault="006C24FF" w:rsidP="006C24FF">
            <w:pPr>
              <w:pStyle w:val="TableParagraph"/>
              <w:rPr>
                <w:b/>
                <w:sz w:val="18"/>
              </w:rPr>
            </w:pPr>
          </w:p>
          <w:p w14:paraId="0BE61AAF" w14:textId="77777777" w:rsidR="006C24FF" w:rsidRDefault="006C24FF" w:rsidP="006C24FF">
            <w:pPr>
              <w:pStyle w:val="TableParagraph"/>
              <w:ind w:left="15" w:right="2"/>
              <w:jc w:val="center"/>
              <w:rPr>
                <w:sz w:val="18"/>
              </w:rPr>
            </w:pPr>
            <w:r>
              <w:rPr>
                <w:sz w:val="18"/>
              </w:rPr>
              <w:t xml:space="preserve">Field </w:t>
            </w:r>
            <w:r>
              <w:rPr>
                <w:spacing w:val="-2"/>
                <w:sz w:val="18"/>
              </w:rPr>
              <w:t>Density</w:t>
            </w:r>
          </w:p>
        </w:tc>
        <w:tc>
          <w:tcPr>
            <w:tcW w:w="1740" w:type="dxa"/>
          </w:tcPr>
          <w:p w14:paraId="159A602D" w14:textId="77777777" w:rsidR="006C24FF" w:rsidRDefault="006C24FF" w:rsidP="006C24FF">
            <w:pPr>
              <w:pStyle w:val="TableParagraph"/>
              <w:ind w:left="16"/>
              <w:jc w:val="center"/>
              <w:rPr>
                <w:sz w:val="18"/>
              </w:rPr>
            </w:pPr>
            <w:r>
              <w:rPr>
                <w:sz w:val="18"/>
              </w:rPr>
              <w:t>100%</w:t>
            </w:r>
            <w:r>
              <w:rPr>
                <w:spacing w:val="-1"/>
                <w:sz w:val="18"/>
              </w:rPr>
              <w:t xml:space="preserve"> </w:t>
            </w:r>
            <w:r>
              <w:rPr>
                <w:sz w:val="18"/>
              </w:rPr>
              <w:t>AASHTO</w:t>
            </w:r>
            <w:r>
              <w:rPr>
                <w:spacing w:val="-1"/>
                <w:sz w:val="18"/>
              </w:rPr>
              <w:t xml:space="preserve"> </w:t>
            </w:r>
            <w:r>
              <w:rPr>
                <w:spacing w:val="-5"/>
                <w:sz w:val="18"/>
              </w:rPr>
              <w:t>T-</w:t>
            </w:r>
          </w:p>
          <w:p w14:paraId="5E686574" w14:textId="77777777" w:rsidR="006C24FF" w:rsidRDefault="006C24FF" w:rsidP="006C24FF">
            <w:pPr>
              <w:pStyle w:val="TableParagraph"/>
              <w:ind w:left="16"/>
              <w:jc w:val="center"/>
              <w:rPr>
                <w:sz w:val="18"/>
              </w:rPr>
            </w:pPr>
            <w:r>
              <w:rPr>
                <w:spacing w:val="-5"/>
                <w:sz w:val="18"/>
              </w:rPr>
              <w:t>99</w:t>
            </w:r>
          </w:p>
        </w:tc>
        <w:tc>
          <w:tcPr>
            <w:tcW w:w="3664" w:type="dxa"/>
          </w:tcPr>
          <w:p w14:paraId="6608FB70" w14:textId="77777777" w:rsidR="006C24FF" w:rsidRDefault="006C24FF" w:rsidP="006C24FF">
            <w:pPr>
              <w:pStyle w:val="TableParagraph"/>
              <w:ind w:left="131" w:right="119"/>
              <w:jc w:val="center"/>
              <w:rPr>
                <w:sz w:val="18"/>
              </w:rPr>
            </w:pPr>
            <w:r>
              <w:rPr>
                <w:sz w:val="18"/>
              </w:rPr>
              <w:t>Section</w:t>
            </w:r>
            <w:r>
              <w:rPr>
                <w:spacing w:val="-3"/>
                <w:sz w:val="18"/>
              </w:rPr>
              <w:t xml:space="preserve"> </w:t>
            </w:r>
            <w:r>
              <w:rPr>
                <w:sz w:val="18"/>
              </w:rPr>
              <w:t>120 (modified)-One</w:t>
            </w:r>
            <w:r>
              <w:rPr>
                <w:spacing w:val="-2"/>
                <w:sz w:val="18"/>
              </w:rPr>
              <w:t xml:space="preserve"> </w:t>
            </w:r>
            <w:r>
              <w:rPr>
                <w:sz w:val="18"/>
              </w:rPr>
              <w:t>per</w:t>
            </w:r>
            <w:r>
              <w:rPr>
                <w:spacing w:val="-4"/>
                <w:sz w:val="18"/>
              </w:rPr>
              <w:t xml:space="preserve"> </w:t>
            </w:r>
            <w:r>
              <w:rPr>
                <w:sz w:val="18"/>
              </w:rPr>
              <w:t>300 LF of</w:t>
            </w:r>
            <w:r>
              <w:rPr>
                <w:spacing w:val="-3"/>
                <w:sz w:val="18"/>
              </w:rPr>
              <w:t xml:space="preserve"> </w:t>
            </w:r>
            <w:r>
              <w:rPr>
                <w:spacing w:val="-2"/>
                <w:sz w:val="18"/>
              </w:rPr>
              <w:t>sidewalk</w:t>
            </w:r>
          </w:p>
          <w:p w14:paraId="6326C1D8" w14:textId="77777777" w:rsidR="006C24FF" w:rsidRDefault="006C24FF" w:rsidP="006C24FF">
            <w:pPr>
              <w:pStyle w:val="TableParagraph"/>
              <w:ind w:left="132" w:right="119"/>
              <w:jc w:val="center"/>
              <w:rPr>
                <w:sz w:val="18"/>
              </w:rPr>
            </w:pPr>
            <w:r>
              <w:rPr>
                <w:sz w:val="18"/>
              </w:rPr>
              <w:t>One</w:t>
            </w:r>
            <w:r>
              <w:rPr>
                <w:spacing w:val="-3"/>
                <w:sz w:val="18"/>
              </w:rPr>
              <w:t xml:space="preserve"> </w:t>
            </w:r>
            <w:r>
              <w:rPr>
                <w:sz w:val="18"/>
              </w:rPr>
              <w:t xml:space="preserve">per </w:t>
            </w:r>
            <w:r>
              <w:rPr>
                <w:spacing w:val="-2"/>
                <w:sz w:val="18"/>
              </w:rPr>
              <w:t>driveway</w:t>
            </w:r>
          </w:p>
        </w:tc>
      </w:tr>
      <w:tr w:rsidR="00A97760" w14:paraId="383BC73A" w14:textId="77777777" w:rsidTr="00A97760">
        <w:trPr>
          <w:trHeight w:val="629"/>
        </w:trPr>
        <w:tc>
          <w:tcPr>
            <w:tcW w:w="1281" w:type="dxa"/>
            <w:vMerge w:val="restart"/>
          </w:tcPr>
          <w:p w14:paraId="29192E4C" w14:textId="77777777" w:rsidR="006C24FF" w:rsidRDefault="006C24FF" w:rsidP="006C24FF">
            <w:pPr>
              <w:pStyle w:val="TableParagraph"/>
              <w:rPr>
                <w:b/>
                <w:sz w:val="18"/>
              </w:rPr>
            </w:pPr>
          </w:p>
          <w:p w14:paraId="4611EA88" w14:textId="77777777" w:rsidR="006C24FF" w:rsidRDefault="006C24FF" w:rsidP="006C24FF">
            <w:pPr>
              <w:pStyle w:val="TableParagraph"/>
              <w:rPr>
                <w:b/>
                <w:sz w:val="18"/>
              </w:rPr>
            </w:pPr>
          </w:p>
          <w:p w14:paraId="385F43D7" w14:textId="77777777" w:rsidR="006C24FF" w:rsidRDefault="006C24FF" w:rsidP="006C24FF">
            <w:pPr>
              <w:pStyle w:val="TableParagraph"/>
              <w:ind w:left="316" w:right="234" w:hanging="22"/>
              <w:rPr>
                <w:sz w:val="18"/>
              </w:rPr>
            </w:pPr>
            <w:r>
              <w:rPr>
                <w:spacing w:val="-2"/>
                <w:sz w:val="18"/>
              </w:rPr>
              <w:t>Stabilized Subgrade</w:t>
            </w:r>
          </w:p>
        </w:tc>
        <w:tc>
          <w:tcPr>
            <w:tcW w:w="1648" w:type="dxa"/>
            <w:vMerge w:val="restart"/>
          </w:tcPr>
          <w:p w14:paraId="39BA602E" w14:textId="77777777" w:rsidR="006C24FF" w:rsidRDefault="006C24FF" w:rsidP="006C24FF">
            <w:pPr>
              <w:pStyle w:val="TableParagraph"/>
              <w:rPr>
                <w:b/>
                <w:sz w:val="18"/>
              </w:rPr>
            </w:pPr>
          </w:p>
          <w:p w14:paraId="3E088CB8" w14:textId="77777777" w:rsidR="006C24FF" w:rsidRDefault="006C24FF" w:rsidP="006C24FF">
            <w:pPr>
              <w:pStyle w:val="TableParagraph"/>
              <w:rPr>
                <w:b/>
                <w:sz w:val="18"/>
              </w:rPr>
            </w:pPr>
          </w:p>
          <w:p w14:paraId="690B37AC"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6E63B09A" w14:textId="77777777" w:rsidR="006C24FF" w:rsidRDefault="006C24FF" w:rsidP="006C24FF">
            <w:pPr>
              <w:pStyle w:val="TableParagraph"/>
              <w:ind w:left="209" w:right="112" w:hanging="77"/>
              <w:rPr>
                <w:sz w:val="18"/>
              </w:rPr>
            </w:pPr>
            <w:r>
              <w:rPr>
                <w:sz w:val="18"/>
              </w:rPr>
              <w:t>Limerock</w:t>
            </w:r>
            <w:r>
              <w:rPr>
                <w:spacing w:val="-12"/>
                <w:sz w:val="18"/>
              </w:rPr>
              <w:t xml:space="preserve"> </w:t>
            </w:r>
            <w:r>
              <w:rPr>
                <w:sz w:val="18"/>
              </w:rPr>
              <w:t>Bearing Ratio FM 5-515</w:t>
            </w:r>
          </w:p>
        </w:tc>
        <w:tc>
          <w:tcPr>
            <w:tcW w:w="1740" w:type="dxa"/>
          </w:tcPr>
          <w:p w14:paraId="017AEC1A" w14:textId="77777777" w:rsidR="006C24FF" w:rsidRDefault="006C24FF" w:rsidP="006C24FF">
            <w:pPr>
              <w:pStyle w:val="TableParagraph"/>
              <w:rPr>
                <w:b/>
                <w:sz w:val="18"/>
              </w:rPr>
            </w:pPr>
          </w:p>
          <w:p w14:paraId="63C04123"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160</w:t>
            </w:r>
          </w:p>
        </w:tc>
        <w:tc>
          <w:tcPr>
            <w:tcW w:w="3664" w:type="dxa"/>
          </w:tcPr>
          <w:p w14:paraId="618FD58C" w14:textId="183C9C03" w:rsidR="006C24FF" w:rsidRDefault="006C24FF" w:rsidP="006C24FF">
            <w:pPr>
              <w:pStyle w:val="TableParagraph"/>
              <w:ind w:left="132" w:right="119"/>
              <w:jc w:val="center"/>
              <w:rPr>
                <w:sz w:val="18"/>
              </w:rPr>
            </w:pPr>
            <w:r>
              <w:rPr>
                <w:sz w:val="18"/>
              </w:rPr>
              <w:t>One</w:t>
            </w:r>
            <w:r>
              <w:rPr>
                <w:spacing w:val="-2"/>
                <w:sz w:val="18"/>
              </w:rPr>
              <w:t xml:space="preserve"> </w:t>
            </w:r>
            <w:r>
              <w:rPr>
                <w:sz w:val="18"/>
              </w:rPr>
              <w:t>per 1,000 LF per</w:t>
            </w:r>
            <w:r>
              <w:rPr>
                <w:spacing w:val="-2"/>
                <w:sz w:val="18"/>
              </w:rPr>
              <w:t xml:space="preserve"> </w:t>
            </w:r>
            <w:r>
              <w:rPr>
                <w:sz w:val="18"/>
              </w:rPr>
              <w:t>lane</w:t>
            </w:r>
            <w:r>
              <w:rPr>
                <w:spacing w:val="-1"/>
                <w:sz w:val="18"/>
              </w:rPr>
              <w:t xml:space="preserve"> </w:t>
            </w:r>
            <w:r>
              <w:rPr>
                <w:sz w:val="18"/>
              </w:rPr>
              <w:t>(One</w:t>
            </w:r>
            <w:r>
              <w:rPr>
                <w:spacing w:val="-3"/>
                <w:sz w:val="18"/>
              </w:rPr>
              <w:t xml:space="preserve"> </w:t>
            </w:r>
            <w:r>
              <w:rPr>
                <w:sz w:val="18"/>
              </w:rPr>
              <w:t>per</w:t>
            </w:r>
            <w:r>
              <w:rPr>
                <w:spacing w:val="-1"/>
                <w:sz w:val="18"/>
              </w:rPr>
              <w:t xml:space="preserve"> </w:t>
            </w:r>
            <w:r>
              <w:rPr>
                <w:sz w:val="18"/>
              </w:rPr>
              <w:t>2</w:t>
            </w:r>
            <w:r>
              <w:rPr>
                <w:spacing w:val="1"/>
                <w:sz w:val="18"/>
              </w:rPr>
              <w:t xml:space="preserve"> </w:t>
            </w:r>
            <w:r>
              <w:rPr>
                <w:spacing w:val="-4"/>
                <w:sz w:val="18"/>
              </w:rPr>
              <w:t>lots)</w:t>
            </w:r>
          </w:p>
          <w:p w14:paraId="66004E7F" w14:textId="77777777" w:rsidR="006C24FF" w:rsidRPr="006C24FF" w:rsidRDefault="006C24FF" w:rsidP="006C24FF">
            <w:pPr>
              <w:pStyle w:val="TableParagraph"/>
              <w:rPr>
                <w:b/>
                <w:sz w:val="8"/>
                <w:szCs w:val="8"/>
              </w:rPr>
            </w:pPr>
          </w:p>
          <w:p w14:paraId="34D05AE5" w14:textId="2CF6EF07" w:rsidR="006C24FF" w:rsidRDefault="006C24FF" w:rsidP="006C24FF">
            <w:pPr>
              <w:pStyle w:val="TableParagraph"/>
              <w:ind w:left="15"/>
              <w:jc w:val="center"/>
              <w:rPr>
                <w:sz w:val="18"/>
              </w:rPr>
            </w:pPr>
            <w:r>
              <w:rPr>
                <w:sz w:val="18"/>
              </w:rPr>
              <w:t>One</w:t>
            </w:r>
            <w:r>
              <w:rPr>
                <w:spacing w:val="-2"/>
                <w:sz w:val="18"/>
              </w:rPr>
              <w:t xml:space="preserve"> </w:t>
            </w:r>
            <w:r>
              <w:rPr>
                <w:sz w:val="18"/>
              </w:rPr>
              <w:t>per</w:t>
            </w:r>
            <w:r>
              <w:rPr>
                <w:spacing w:val="-1"/>
                <w:sz w:val="18"/>
              </w:rPr>
              <w:t xml:space="preserve"> </w:t>
            </w:r>
            <w:r>
              <w:rPr>
                <w:sz w:val="18"/>
              </w:rPr>
              <w:t>2,000 LF per</w:t>
            </w:r>
            <w:r>
              <w:rPr>
                <w:spacing w:val="-1"/>
                <w:sz w:val="18"/>
              </w:rPr>
              <w:t xml:space="preserve"> </w:t>
            </w:r>
            <w:r>
              <w:rPr>
                <w:sz w:val="18"/>
              </w:rPr>
              <w:t>shoulder (One</w:t>
            </w:r>
            <w:r>
              <w:rPr>
                <w:spacing w:val="-2"/>
                <w:sz w:val="18"/>
              </w:rPr>
              <w:t xml:space="preserve"> </w:t>
            </w:r>
            <w:r>
              <w:rPr>
                <w:sz w:val="18"/>
              </w:rPr>
              <w:t>per</w:t>
            </w:r>
            <w:r>
              <w:rPr>
                <w:spacing w:val="-1"/>
                <w:sz w:val="18"/>
              </w:rPr>
              <w:t xml:space="preserve"> </w:t>
            </w:r>
            <w:r>
              <w:rPr>
                <w:sz w:val="18"/>
              </w:rPr>
              <w:t>4</w:t>
            </w:r>
            <w:r>
              <w:rPr>
                <w:spacing w:val="-1"/>
                <w:sz w:val="18"/>
              </w:rPr>
              <w:t xml:space="preserve"> </w:t>
            </w:r>
            <w:r>
              <w:rPr>
                <w:spacing w:val="-4"/>
                <w:sz w:val="18"/>
              </w:rPr>
              <w:t>lots)</w:t>
            </w:r>
          </w:p>
        </w:tc>
      </w:tr>
      <w:tr w:rsidR="00A97760" w14:paraId="1846847C" w14:textId="77777777" w:rsidTr="00A97760">
        <w:trPr>
          <w:trHeight w:val="838"/>
        </w:trPr>
        <w:tc>
          <w:tcPr>
            <w:tcW w:w="1281" w:type="dxa"/>
            <w:vMerge/>
            <w:tcBorders>
              <w:top w:val="nil"/>
            </w:tcBorders>
          </w:tcPr>
          <w:p w14:paraId="6856D336" w14:textId="77777777" w:rsidR="006C24FF" w:rsidRDefault="006C24FF" w:rsidP="006C24FF">
            <w:pPr>
              <w:spacing w:after="0" w:line="240" w:lineRule="auto"/>
              <w:rPr>
                <w:sz w:val="2"/>
                <w:szCs w:val="2"/>
              </w:rPr>
            </w:pPr>
          </w:p>
        </w:tc>
        <w:tc>
          <w:tcPr>
            <w:tcW w:w="1648" w:type="dxa"/>
            <w:vMerge/>
            <w:tcBorders>
              <w:top w:val="nil"/>
            </w:tcBorders>
          </w:tcPr>
          <w:p w14:paraId="65F1A1F8" w14:textId="77777777" w:rsidR="006C24FF" w:rsidRDefault="006C24FF" w:rsidP="006C24FF">
            <w:pPr>
              <w:spacing w:after="0" w:line="240" w:lineRule="auto"/>
              <w:rPr>
                <w:sz w:val="2"/>
                <w:szCs w:val="2"/>
              </w:rPr>
            </w:pPr>
          </w:p>
        </w:tc>
        <w:tc>
          <w:tcPr>
            <w:tcW w:w="1832" w:type="dxa"/>
          </w:tcPr>
          <w:p w14:paraId="01DFA1C1" w14:textId="77777777" w:rsidR="006C24FF" w:rsidRDefault="006C24FF" w:rsidP="006C24FF">
            <w:pPr>
              <w:pStyle w:val="TableParagraph"/>
              <w:rPr>
                <w:b/>
                <w:sz w:val="18"/>
              </w:rPr>
            </w:pPr>
          </w:p>
          <w:p w14:paraId="7B4D29D9" w14:textId="77777777" w:rsidR="006C24FF" w:rsidRDefault="006C24FF" w:rsidP="006C24FF">
            <w:pPr>
              <w:pStyle w:val="TableParagraph"/>
              <w:ind w:left="120" w:firstLine="482"/>
              <w:rPr>
                <w:sz w:val="18"/>
              </w:rPr>
            </w:pPr>
            <w:r>
              <w:rPr>
                <w:spacing w:val="-4"/>
                <w:sz w:val="18"/>
              </w:rPr>
              <w:t xml:space="preserve">Field </w:t>
            </w:r>
            <w:r>
              <w:rPr>
                <w:spacing w:val="-2"/>
                <w:sz w:val="18"/>
              </w:rPr>
              <w:t>Density/Thickness</w:t>
            </w:r>
          </w:p>
        </w:tc>
        <w:tc>
          <w:tcPr>
            <w:tcW w:w="1740" w:type="dxa"/>
          </w:tcPr>
          <w:p w14:paraId="5A4B67A3" w14:textId="77777777" w:rsidR="006C24FF" w:rsidRDefault="006C24FF" w:rsidP="006C24FF">
            <w:pPr>
              <w:pStyle w:val="TableParagraph"/>
              <w:rPr>
                <w:b/>
                <w:sz w:val="18"/>
              </w:rPr>
            </w:pPr>
          </w:p>
          <w:p w14:paraId="19D3C816" w14:textId="77777777" w:rsidR="006C24FF" w:rsidRDefault="006C24FF" w:rsidP="006C24FF">
            <w:pPr>
              <w:pStyle w:val="TableParagraph"/>
              <w:ind w:left="271" w:right="236" w:hanging="15"/>
              <w:rPr>
                <w:sz w:val="18"/>
              </w:rPr>
            </w:pPr>
            <w:r>
              <w:rPr>
                <w:sz w:val="18"/>
              </w:rPr>
              <w:t>Section</w:t>
            </w:r>
            <w:r>
              <w:rPr>
                <w:spacing w:val="-12"/>
                <w:sz w:val="18"/>
              </w:rPr>
              <w:t xml:space="preserve"> </w:t>
            </w:r>
            <w:r>
              <w:rPr>
                <w:sz w:val="18"/>
              </w:rPr>
              <w:t>160-98% AASHTO</w:t>
            </w:r>
            <w:r>
              <w:rPr>
                <w:spacing w:val="-5"/>
                <w:sz w:val="18"/>
              </w:rPr>
              <w:t xml:space="preserve"> </w:t>
            </w:r>
            <w:r>
              <w:rPr>
                <w:sz w:val="18"/>
              </w:rPr>
              <w:t>T-</w:t>
            </w:r>
            <w:r>
              <w:rPr>
                <w:spacing w:val="-5"/>
                <w:sz w:val="18"/>
              </w:rPr>
              <w:t>180</w:t>
            </w:r>
          </w:p>
        </w:tc>
        <w:tc>
          <w:tcPr>
            <w:tcW w:w="3664" w:type="dxa"/>
          </w:tcPr>
          <w:p w14:paraId="6CAFAEBC" w14:textId="77777777" w:rsidR="006C24FF" w:rsidRDefault="006C24FF" w:rsidP="006C24FF">
            <w:pPr>
              <w:pStyle w:val="TableParagraph"/>
              <w:ind w:left="383" w:right="368"/>
              <w:jc w:val="center"/>
              <w:rPr>
                <w:sz w:val="18"/>
              </w:rPr>
            </w:pPr>
            <w:r>
              <w:rPr>
                <w:sz w:val="18"/>
              </w:rPr>
              <w:t>Density-One</w:t>
            </w:r>
            <w:r>
              <w:rPr>
                <w:spacing w:val="-5"/>
                <w:sz w:val="18"/>
              </w:rPr>
              <w:t xml:space="preserve"> </w:t>
            </w:r>
            <w:r>
              <w:rPr>
                <w:sz w:val="18"/>
              </w:rPr>
              <w:t>per</w:t>
            </w:r>
            <w:r>
              <w:rPr>
                <w:spacing w:val="-6"/>
                <w:sz w:val="18"/>
              </w:rPr>
              <w:t xml:space="preserve"> </w:t>
            </w:r>
            <w:r>
              <w:rPr>
                <w:sz w:val="18"/>
              </w:rPr>
              <w:t>500</w:t>
            </w:r>
            <w:r>
              <w:rPr>
                <w:spacing w:val="-3"/>
                <w:sz w:val="18"/>
              </w:rPr>
              <w:t xml:space="preserve"> </w:t>
            </w:r>
            <w:r>
              <w:rPr>
                <w:sz w:val="18"/>
              </w:rPr>
              <w:t>LF</w:t>
            </w:r>
            <w:r>
              <w:rPr>
                <w:spacing w:val="-3"/>
                <w:sz w:val="18"/>
              </w:rPr>
              <w:t xml:space="preserve"> </w:t>
            </w:r>
            <w:r>
              <w:rPr>
                <w:sz w:val="18"/>
              </w:rPr>
              <w:t>per</w:t>
            </w:r>
            <w:r>
              <w:rPr>
                <w:spacing w:val="-6"/>
                <w:sz w:val="18"/>
              </w:rPr>
              <w:t xml:space="preserve"> </w:t>
            </w:r>
            <w:r>
              <w:rPr>
                <w:sz w:val="18"/>
              </w:rPr>
              <w:t>lane</w:t>
            </w:r>
            <w:r>
              <w:rPr>
                <w:spacing w:val="-7"/>
                <w:sz w:val="18"/>
              </w:rPr>
              <w:t xml:space="preserve"> </w:t>
            </w:r>
            <w:r>
              <w:rPr>
                <w:sz w:val="18"/>
              </w:rPr>
              <w:t>(1</w:t>
            </w:r>
            <w:r>
              <w:rPr>
                <w:spacing w:val="-3"/>
                <w:sz w:val="18"/>
              </w:rPr>
              <w:t xml:space="preserve"> </w:t>
            </w:r>
            <w:r>
              <w:rPr>
                <w:sz w:val="18"/>
              </w:rPr>
              <w:t>per</w:t>
            </w:r>
            <w:r>
              <w:rPr>
                <w:spacing w:val="-4"/>
                <w:sz w:val="18"/>
              </w:rPr>
              <w:t xml:space="preserve"> </w:t>
            </w:r>
            <w:r>
              <w:rPr>
                <w:sz w:val="18"/>
              </w:rPr>
              <w:t>lot) Thickness – 3 per lot</w:t>
            </w:r>
          </w:p>
          <w:p w14:paraId="2ACF4BB9" w14:textId="77777777" w:rsidR="006C24FF" w:rsidRPr="006C24FF" w:rsidRDefault="006C24FF" w:rsidP="006C24FF">
            <w:pPr>
              <w:pStyle w:val="TableParagraph"/>
              <w:rPr>
                <w:b/>
                <w:sz w:val="8"/>
                <w:szCs w:val="8"/>
              </w:rPr>
            </w:pPr>
          </w:p>
          <w:p w14:paraId="6D98C18F" w14:textId="77777777" w:rsidR="006C24FF" w:rsidRDefault="006C24FF" w:rsidP="006C24FF">
            <w:pPr>
              <w:pStyle w:val="TableParagraph"/>
              <w:ind w:left="132" w:right="119"/>
              <w:jc w:val="center"/>
              <w:rPr>
                <w:sz w:val="18"/>
              </w:rPr>
            </w:pPr>
            <w:r>
              <w:rPr>
                <w:sz w:val="18"/>
              </w:rPr>
              <w:t>Density/thickness</w:t>
            </w:r>
            <w:r>
              <w:rPr>
                <w:spacing w:val="-2"/>
                <w:sz w:val="18"/>
              </w:rPr>
              <w:t xml:space="preserve"> </w:t>
            </w:r>
            <w:r>
              <w:rPr>
                <w:sz w:val="18"/>
              </w:rPr>
              <w:t>(modified)-One</w:t>
            </w:r>
            <w:r>
              <w:rPr>
                <w:spacing w:val="-3"/>
                <w:sz w:val="18"/>
              </w:rPr>
              <w:t xml:space="preserve"> </w:t>
            </w:r>
            <w:r>
              <w:rPr>
                <w:sz w:val="18"/>
              </w:rPr>
              <w:t>per</w:t>
            </w:r>
            <w:r>
              <w:rPr>
                <w:spacing w:val="-1"/>
                <w:sz w:val="18"/>
              </w:rPr>
              <w:t xml:space="preserve"> </w:t>
            </w:r>
            <w:r>
              <w:rPr>
                <w:sz w:val="18"/>
              </w:rPr>
              <w:t>500</w:t>
            </w:r>
            <w:r>
              <w:rPr>
                <w:spacing w:val="-3"/>
                <w:sz w:val="18"/>
              </w:rPr>
              <w:t xml:space="preserve"> </w:t>
            </w:r>
            <w:r>
              <w:rPr>
                <w:sz w:val="18"/>
              </w:rPr>
              <w:t>LF</w:t>
            </w:r>
            <w:r>
              <w:rPr>
                <w:spacing w:val="-3"/>
                <w:sz w:val="18"/>
              </w:rPr>
              <w:t xml:space="preserve"> </w:t>
            </w:r>
            <w:r>
              <w:rPr>
                <w:sz w:val="18"/>
              </w:rPr>
              <w:t>per</w:t>
            </w:r>
            <w:r>
              <w:rPr>
                <w:spacing w:val="-1"/>
                <w:sz w:val="18"/>
              </w:rPr>
              <w:t xml:space="preserve"> </w:t>
            </w:r>
            <w:r>
              <w:rPr>
                <w:spacing w:val="-2"/>
                <w:sz w:val="18"/>
              </w:rPr>
              <w:t>shoulder</w:t>
            </w:r>
          </w:p>
        </w:tc>
      </w:tr>
      <w:tr w:rsidR="00A97760" w14:paraId="2EDE62D5" w14:textId="77777777" w:rsidTr="00A97760">
        <w:trPr>
          <w:trHeight w:val="419"/>
        </w:trPr>
        <w:tc>
          <w:tcPr>
            <w:tcW w:w="1281" w:type="dxa"/>
            <w:vMerge w:val="restart"/>
          </w:tcPr>
          <w:p w14:paraId="6455547F" w14:textId="77777777" w:rsidR="006C24FF" w:rsidRDefault="006C24FF" w:rsidP="006C24FF">
            <w:pPr>
              <w:pStyle w:val="TableParagraph"/>
              <w:rPr>
                <w:b/>
                <w:sz w:val="18"/>
              </w:rPr>
            </w:pPr>
          </w:p>
          <w:p w14:paraId="389788F8" w14:textId="77777777" w:rsidR="006C24FF" w:rsidRDefault="006C24FF" w:rsidP="006C24FF">
            <w:pPr>
              <w:pStyle w:val="TableParagraph"/>
              <w:rPr>
                <w:b/>
                <w:sz w:val="18"/>
              </w:rPr>
            </w:pPr>
          </w:p>
          <w:p w14:paraId="286E5D19" w14:textId="77777777" w:rsidR="006C24FF" w:rsidRDefault="006C24FF" w:rsidP="006C24FF">
            <w:pPr>
              <w:pStyle w:val="TableParagraph"/>
              <w:ind w:left="403" w:right="92" w:hanging="293"/>
              <w:rPr>
                <w:sz w:val="18"/>
              </w:rPr>
            </w:pPr>
            <w:r>
              <w:rPr>
                <w:sz w:val="18"/>
              </w:rPr>
              <w:t>Limerock</w:t>
            </w:r>
            <w:r>
              <w:rPr>
                <w:spacing w:val="-12"/>
                <w:sz w:val="18"/>
              </w:rPr>
              <w:t xml:space="preserve"> </w:t>
            </w:r>
            <w:r>
              <w:rPr>
                <w:sz w:val="18"/>
              </w:rPr>
              <w:t xml:space="preserve">Base </w:t>
            </w:r>
            <w:r>
              <w:rPr>
                <w:spacing w:val="-2"/>
                <w:sz w:val="18"/>
              </w:rPr>
              <w:t>Course</w:t>
            </w:r>
          </w:p>
        </w:tc>
        <w:tc>
          <w:tcPr>
            <w:tcW w:w="1648" w:type="dxa"/>
            <w:vMerge w:val="restart"/>
          </w:tcPr>
          <w:p w14:paraId="2CF65B1B" w14:textId="77777777" w:rsidR="006C24FF" w:rsidRDefault="006C24FF" w:rsidP="006C24FF">
            <w:pPr>
              <w:pStyle w:val="TableParagraph"/>
              <w:rPr>
                <w:b/>
                <w:sz w:val="18"/>
              </w:rPr>
            </w:pPr>
          </w:p>
          <w:p w14:paraId="0211D82E" w14:textId="77777777" w:rsidR="006C24FF" w:rsidRDefault="006C24FF" w:rsidP="006C24FF">
            <w:pPr>
              <w:pStyle w:val="TableParagraph"/>
              <w:ind w:left="196" w:right="185"/>
              <w:jc w:val="center"/>
              <w:rPr>
                <w:sz w:val="18"/>
              </w:rPr>
            </w:pPr>
            <w:r>
              <w:rPr>
                <w:sz w:val="18"/>
              </w:rPr>
              <w:t>FDOT</w:t>
            </w:r>
            <w:r>
              <w:rPr>
                <w:spacing w:val="-12"/>
                <w:sz w:val="18"/>
              </w:rPr>
              <w:t xml:space="preserve"> </w:t>
            </w:r>
            <w:r>
              <w:rPr>
                <w:sz w:val="18"/>
              </w:rPr>
              <w:t xml:space="preserve">Standard </w:t>
            </w:r>
            <w:r>
              <w:rPr>
                <w:spacing w:val="-2"/>
                <w:sz w:val="18"/>
              </w:rPr>
              <w:t xml:space="preserve">Specifications </w:t>
            </w:r>
            <w:r>
              <w:rPr>
                <w:sz w:val="18"/>
              </w:rPr>
              <w:t>(Latest</w:t>
            </w:r>
            <w:r>
              <w:rPr>
                <w:spacing w:val="-12"/>
                <w:sz w:val="18"/>
              </w:rPr>
              <w:t xml:space="preserve"> </w:t>
            </w:r>
            <w:r>
              <w:rPr>
                <w:sz w:val="18"/>
              </w:rPr>
              <w:t>Edition)</w:t>
            </w:r>
          </w:p>
        </w:tc>
        <w:tc>
          <w:tcPr>
            <w:tcW w:w="1832" w:type="dxa"/>
          </w:tcPr>
          <w:p w14:paraId="019F0720" w14:textId="77777777" w:rsidR="006C24FF" w:rsidRDefault="006C24FF" w:rsidP="006C24FF">
            <w:pPr>
              <w:pStyle w:val="TableParagraph"/>
              <w:ind w:left="182" w:hanging="17"/>
              <w:rPr>
                <w:sz w:val="18"/>
              </w:rPr>
            </w:pPr>
            <w:r>
              <w:rPr>
                <w:sz w:val="18"/>
              </w:rPr>
              <w:t>Modified</w:t>
            </w:r>
            <w:r>
              <w:rPr>
                <w:spacing w:val="-12"/>
                <w:sz w:val="18"/>
              </w:rPr>
              <w:t xml:space="preserve"> </w:t>
            </w:r>
            <w:r>
              <w:rPr>
                <w:sz w:val="18"/>
              </w:rPr>
              <w:t>Proctor AASHTO</w:t>
            </w:r>
            <w:r>
              <w:rPr>
                <w:spacing w:val="-3"/>
                <w:sz w:val="18"/>
              </w:rPr>
              <w:t xml:space="preserve"> </w:t>
            </w:r>
            <w:r>
              <w:rPr>
                <w:sz w:val="18"/>
              </w:rPr>
              <w:t>T-</w:t>
            </w:r>
            <w:r>
              <w:rPr>
                <w:spacing w:val="-5"/>
                <w:sz w:val="18"/>
              </w:rPr>
              <w:t>180</w:t>
            </w:r>
          </w:p>
        </w:tc>
        <w:tc>
          <w:tcPr>
            <w:tcW w:w="1740" w:type="dxa"/>
          </w:tcPr>
          <w:p w14:paraId="4CE102C2" w14:textId="77777777" w:rsidR="006C24FF" w:rsidRDefault="006C24FF" w:rsidP="006C24FF">
            <w:pPr>
              <w:pStyle w:val="TableParagraph"/>
              <w:ind w:left="16" w:right="3"/>
              <w:jc w:val="center"/>
              <w:rPr>
                <w:sz w:val="18"/>
              </w:rPr>
            </w:pPr>
            <w:r>
              <w:rPr>
                <w:sz w:val="18"/>
              </w:rPr>
              <w:t>Section</w:t>
            </w:r>
            <w:r>
              <w:rPr>
                <w:spacing w:val="-2"/>
                <w:sz w:val="18"/>
              </w:rPr>
              <w:t xml:space="preserve"> </w:t>
            </w:r>
            <w:r>
              <w:rPr>
                <w:spacing w:val="-5"/>
                <w:sz w:val="18"/>
              </w:rPr>
              <w:t>200</w:t>
            </w:r>
          </w:p>
        </w:tc>
        <w:tc>
          <w:tcPr>
            <w:tcW w:w="3664" w:type="dxa"/>
          </w:tcPr>
          <w:p w14:paraId="6F33BCC9" w14:textId="77777777" w:rsidR="006C24FF" w:rsidRDefault="006C24FF" w:rsidP="006C24FF">
            <w:pPr>
              <w:pStyle w:val="TableParagraph"/>
              <w:ind w:left="16"/>
              <w:jc w:val="center"/>
              <w:rPr>
                <w:sz w:val="18"/>
              </w:rPr>
            </w:pPr>
            <w:r>
              <w:rPr>
                <w:sz w:val="18"/>
              </w:rPr>
              <w:t>One</w:t>
            </w:r>
            <w:r>
              <w:rPr>
                <w:spacing w:val="-3"/>
                <w:sz w:val="18"/>
              </w:rPr>
              <w:t xml:space="preserve"> </w:t>
            </w:r>
            <w:r>
              <w:rPr>
                <w:sz w:val="18"/>
              </w:rPr>
              <w:t>per 4</w:t>
            </w:r>
            <w:r>
              <w:rPr>
                <w:spacing w:val="-1"/>
                <w:sz w:val="18"/>
              </w:rPr>
              <w:t xml:space="preserve"> </w:t>
            </w:r>
            <w:r>
              <w:rPr>
                <w:sz w:val="18"/>
              </w:rPr>
              <w:t>8</w:t>
            </w:r>
            <w:r>
              <w:rPr>
                <w:spacing w:val="1"/>
                <w:sz w:val="18"/>
              </w:rPr>
              <w:t xml:space="preserve"> </w:t>
            </w:r>
            <w:r>
              <w:rPr>
                <w:spacing w:val="-4"/>
                <w:sz w:val="18"/>
              </w:rPr>
              <w:t>lots</w:t>
            </w:r>
          </w:p>
        </w:tc>
      </w:tr>
      <w:tr w:rsidR="00A97760" w14:paraId="36FEA8D9" w14:textId="77777777" w:rsidTr="00A97760">
        <w:trPr>
          <w:trHeight w:val="628"/>
        </w:trPr>
        <w:tc>
          <w:tcPr>
            <w:tcW w:w="1281" w:type="dxa"/>
            <w:vMerge/>
            <w:tcBorders>
              <w:top w:val="nil"/>
            </w:tcBorders>
          </w:tcPr>
          <w:p w14:paraId="248249F1" w14:textId="77777777" w:rsidR="006C24FF" w:rsidRDefault="006C24FF" w:rsidP="006C24FF">
            <w:pPr>
              <w:spacing w:after="0" w:line="240" w:lineRule="auto"/>
              <w:rPr>
                <w:sz w:val="2"/>
                <w:szCs w:val="2"/>
              </w:rPr>
            </w:pPr>
          </w:p>
        </w:tc>
        <w:tc>
          <w:tcPr>
            <w:tcW w:w="1648" w:type="dxa"/>
            <w:vMerge/>
            <w:tcBorders>
              <w:top w:val="nil"/>
            </w:tcBorders>
          </w:tcPr>
          <w:p w14:paraId="355B5DBF" w14:textId="77777777" w:rsidR="006C24FF" w:rsidRDefault="006C24FF" w:rsidP="006C24FF">
            <w:pPr>
              <w:spacing w:after="0" w:line="240" w:lineRule="auto"/>
              <w:rPr>
                <w:sz w:val="2"/>
                <w:szCs w:val="2"/>
              </w:rPr>
            </w:pPr>
          </w:p>
        </w:tc>
        <w:tc>
          <w:tcPr>
            <w:tcW w:w="1832" w:type="dxa"/>
          </w:tcPr>
          <w:p w14:paraId="0D282EE6" w14:textId="77777777" w:rsidR="006C24FF" w:rsidRDefault="006C24FF" w:rsidP="006C24FF">
            <w:pPr>
              <w:pStyle w:val="TableParagraph"/>
              <w:ind w:left="120" w:firstLine="482"/>
              <w:rPr>
                <w:sz w:val="18"/>
              </w:rPr>
            </w:pPr>
            <w:r>
              <w:rPr>
                <w:spacing w:val="-4"/>
                <w:sz w:val="18"/>
              </w:rPr>
              <w:t xml:space="preserve">Field </w:t>
            </w:r>
            <w:r>
              <w:rPr>
                <w:spacing w:val="-2"/>
                <w:sz w:val="18"/>
              </w:rPr>
              <w:t>Density/Thickness</w:t>
            </w:r>
          </w:p>
        </w:tc>
        <w:tc>
          <w:tcPr>
            <w:tcW w:w="1740" w:type="dxa"/>
          </w:tcPr>
          <w:p w14:paraId="599BDE1B" w14:textId="77777777" w:rsidR="006C24FF" w:rsidRDefault="006C24FF" w:rsidP="006C24FF">
            <w:pPr>
              <w:pStyle w:val="TableParagraph"/>
              <w:ind w:left="271" w:right="236" w:hanging="15"/>
              <w:rPr>
                <w:sz w:val="18"/>
              </w:rPr>
            </w:pPr>
            <w:r>
              <w:rPr>
                <w:sz w:val="18"/>
              </w:rPr>
              <w:t>Section</w:t>
            </w:r>
            <w:r>
              <w:rPr>
                <w:spacing w:val="-12"/>
                <w:sz w:val="18"/>
              </w:rPr>
              <w:t xml:space="preserve"> </w:t>
            </w:r>
            <w:r>
              <w:rPr>
                <w:sz w:val="18"/>
              </w:rPr>
              <w:t>200-98% AASHTO</w:t>
            </w:r>
            <w:r>
              <w:rPr>
                <w:spacing w:val="-5"/>
                <w:sz w:val="18"/>
              </w:rPr>
              <w:t xml:space="preserve"> </w:t>
            </w:r>
            <w:r>
              <w:rPr>
                <w:sz w:val="18"/>
              </w:rPr>
              <w:t>T-</w:t>
            </w:r>
            <w:r>
              <w:rPr>
                <w:spacing w:val="-5"/>
                <w:sz w:val="18"/>
              </w:rPr>
              <w:t>180</w:t>
            </w:r>
          </w:p>
        </w:tc>
        <w:tc>
          <w:tcPr>
            <w:tcW w:w="3664" w:type="dxa"/>
          </w:tcPr>
          <w:p w14:paraId="4BA4A69F" w14:textId="213B3C2B" w:rsidR="006C24FF" w:rsidRDefault="006C24FF" w:rsidP="006C24FF">
            <w:pPr>
              <w:pStyle w:val="TableParagraph"/>
              <w:ind w:left="76" w:right="91"/>
              <w:jc w:val="center"/>
              <w:rPr>
                <w:sz w:val="18"/>
              </w:rPr>
            </w:pPr>
            <w:r>
              <w:rPr>
                <w:sz w:val="18"/>
              </w:rPr>
              <w:t>Density-One</w:t>
            </w:r>
            <w:r>
              <w:rPr>
                <w:spacing w:val="-8"/>
                <w:sz w:val="18"/>
              </w:rPr>
              <w:t xml:space="preserve"> </w:t>
            </w:r>
            <w:r>
              <w:rPr>
                <w:sz w:val="18"/>
              </w:rPr>
              <w:t>per</w:t>
            </w:r>
            <w:r>
              <w:rPr>
                <w:spacing w:val="-9"/>
                <w:sz w:val="18"/>
              </w:rPr>
              <w:t xml:space="preserve"> </w:t>
            </w:r>
            <w:r>
              <w:rPr>
                <w:sz w:val="18"/>
              </w:rPr>
              <w:t>300</w:t>
            </w:r>
            <w:r>
              <w:rPr>
                <w:spacing w:val="-6"/>
                <w:sz w:val="18"/>
              </w:rPr>
              <w:t xml:space="preserve"> </w:t>
            </w:r>
            <w:r>
              <w:rPr>
                <w:sz w:val="18"/>
              </w:rPr>
              <w:t>LF</w:t>
            </w:r>
            <w:r>
              <w:rPr>
                <w:spacing w:val="-6"/>
                <w:sz w:val="18"/>
              </w:rPr>
              <w:t xml:space="preserve"> </w:t>
            </w:r>
            <w:r>
              <w:rPr>
                <w:sz w:val="18"/>
              </w:rPr>
              <w:t>per</w:t>
            </w:r>
            <w:r>
              <w:rPr>
                <w:spacing w:val="-9"/>
                <w:sz w:val="18"/>
              </w:rPr>
              <w:t xml:space="preserve"> </w:t>
            </w:r>
            <w:r>
              <w:rPr>
                <w:sz w:val="18"/>
              </w:rPr>
              <w:t>lane Thickness- 3 per lot</w:t>
            </w:r>
          </w:p>
          <w:p w14:paraId="0699026C" w14:textId="3F744D0F" w:rsidR="006C24FF" w:rsidRDefault="006C24FF" w:rsidP="006C24FF">
            <w:pPr>
              <w:pStyle w:val="TableParagraph"/>
              <w:ind w:right="119"/>
              <w:rPr>
                <w:sz w:val="18"/>
              </w:rPr>
            </w:pPr>
            <w:r>
              <w:rPr>
                <w:sz w:val="18"/>
              </w:rPr>
              <w:t>Density/Thickness-One</w:t>
            </w:r>
            <w:r>
              <w:rPr>
                <w:spacing w:val="-5"/>
                <w:sz w:val="18"/>
              </w:rPr>
              <w:t xml:space="preserve"> </w:t>
            </w:r>
            <w:r>
              <w:rPr>
                <w:sz w:val="18"/>
              </w:rPr>
              <w:t>per</w:t>
            </w:r>
            <w:r>
              <w:rPr>
                <w:spacing w:val="-1"/>
                <w:sz w:val="18"/>
              </w:rPr>
              <w:t xml:space="preserve"> </w:t>
            </w:r>
            <w:r>
              <w:rPr>
                <w:sz w:val="18"/>
              </w:rPr>
              <w:t>500</w:t>
            </w:r>
            <w:r>
              <w:rPr>
                <w:spacing w:val="-1"/>
                <w:sz w:val="18"/>
              </w:rPr>
              <w:t xml:space="preserve"> </w:t>
            </w:r>
            <w:r>
              <w:rPr>
                <w:sz w:val="18"/>
              </w:rPr>
              <w:t>LF /</w:t>
            </w:r>
            <w:r>
              <w:rPr>
                <w:spacing w:val="-1"/>
                <w:sz w:val="18"/>
              </w:rPr>
              <w:t xml:space="preserve"> </w:t>
            </w:r>
            <w:r>
              <w:rPr>
                <w:spacing w:val="-2"/>
                <w:sz w:val="18"/>
              </w:rPr>
              <w:t>shoulder</w:t>
            </w:r>
          </w:p>
        </w:tc>
      </w:tr>
      <w:tr w:rsidR="00A97760" w14:paraId="1B18DDFF" w14:textId="77777777" w:rsidTr="00A97760">
        <w:trPr>
          <w:trHeight w:val="70"/>
        </w:trPr>
        <w:tc>
          <w:tcPr>
            <w:tcW w:w="1281" w:type="dxa"/>
          </w:tcPr>
          <w:p w14:paraId="62A06ED6" w14:textId="77777777" w:rsidR="006C24FF" w:rsidRDefault="006C24FF" w:rsidP="006C24FF">
            <w:pPr>
              <w:pStyle w:val="TableParagraph"/>
              <w:rPr>
                <w:b/>
                <w:sz w:val="18"/>
              </w:rPr>
            </w:pPr>
          </w:p>
          <w:p w14:paraId="3FC8F80F" w14:textId="77777777" w:rsidR="006C24FF" w:rsidRDefault="006C24FF" w:rsidP="006C24FF">
            <w:pPr>
              <w:pStyle w:val="TableParagraph"/>
              <w:rPr>
                <w:b/>
                <w:sz w:val="18"/>
              </w:rPr>
            </w:pPr>
          </w:p>
          <w:p w14:paraId="1BE13C01" w14:textId="77777777" w:rsidR="006C24FF" w:rsidRDefault="006C24FF" w:rsidP="006C24FF">
            <w:pPr>
              <w:pStyle w:val="TableParagraph"/>
              <w:ind w:left="9"/>
              <w:jc w:val="center"/>
              <w:rPr>
                <w:sz w:val="18"/>
              </w:rPr>
            </w:pPr>
            <w:r>
              <w:rPr>
                <w:spacing w:val="-2"/>
                <w:sz w:val="18"/>
              </w:rPr>
              <w:t>Sodding</w:t>
            </w:r>
          </w:p>
        </w:tc>
        <w:tc>
          <w:tcPr>
            <w:tcW w:w="1648" w:type="dxa"/>
          </w:tcPr>
          <w:p w14:paraId="2AC7C310" w14:textId="77777777" w:rsidR="006C24FF" w:rsidRDefault="006C24FF" w:rsidP="006C24FF">
            <w:pPr>
              <w:pStyle w:val="TableParagraph"/>
              <w:ind w:left="139" w:right="127" w:hanging="4"/>
              <w:jc w:val="center"/>
              <w:rPr>
                <w:sz w:val="18"/>
              </w:rPr>
            </w:pPr>
            <w:r>
              <w:rPr>
                <w:sz w:val="18"/>
              </w:rPr>
              <w:t>FDOT</w:t>
            </w:r>
            <w:r>
              <w:rPr>
                <w:spacing w:val="40"/>
                <w:sz w:val="18"/>
              </w:rPr>
              <w:t xml:space="preserve"> </w:t>
            </w:r>
            <w:r>
              <w:rPr>
                <w:sz w:val="18"/>
              </w:rPr>
              <w:t>Standard Specifications</w:t>
            </w:r>
            <w:r>
              <w:rPr>
                <w:spacing w:val="-12"/>
                <w:sz w:val="18"/>
              </w:rPr>
              <w:t xml:space="preserve"> </w:t>
            </w:r>
            <w:r>
              <w:rPr>
                <w:sz w:val="18"/>
              </w:rPr>
              <w:t>(Latest Edition)</w:t>
            </w:r>
            <w:r>
              <w:rPr>
                <w:spacing w:val="-3"/>
                <w:sz w:val="18"/>
              </w:rPr>
              <w:t xml:space="preserve"> </w:t>
            </w:r>
            <w:r>
              <w:rPr>
                <w:sz w:val="18"/>
              </w:rPr>
              <w:t>Section</w:t>
            </w:r>
            <w:r>
              <w:rPr>
                <w:spacing w:val="-1"/>
                <w:sz w:val="18"/>
              </w:rPr>
              <w:t xml:space="preserve"> </w:t>
            </w:r>
            <w:r>
              <w:rPr>
                <w:spacing w:val="-4"/>
                <w:sz w:val="18"/>
              </w:rPr>
              <w:t>575,</w:t>
            </w:r>
          </w:p>
          <w:p w14:paraId="4C930857" w14:textId="77777777" w:rsidR="006C24FF" w:rsidRDefault="006C24FF" w:rsidP="006C24FF">
            <w:pPr>
              <w:pStyle w:val="TableParagraph"/>
              <w:ind w:left="59" w:right="44"/>
              <w:jc w:val="center"/>
              <w:rPr>
                <w:sz w:val="18"/>
              </w:rPr>
            </w:pPr>
            <w:r>
              <w:rPr>
                <w:sz w:val="18"/>
              </w:rPr>
              <w:t>Sodding,</w:t>
            </w:r>
            <w:r>
              <w:rPr>
                <w:spacing w:val="-12"/>
                <w:sz w:val="18"/>
              </w:rPr>
              <w:t xml:space="preserve"> </w:t>
            </w:r>
            <w:r>
              <w:rPr>
                <w:sz w:val="18"/>
              </w:rPr>
              <w:t>and</w:t>
            </w:r>
            <w:r>
              <w:rPr>
                <w:spacing w:val="-11"/>
                <w:sz w:val="18"/>
              </w:rPr>
              <w:t xml:space="preserve"> </w:t>
            </w:r>
            <w:r>
              <w:rPr>
                <w:sz w:val="18"/>
              </w:rPr>
              <w:t xml:space="preserve">Section </w:t>
            </w:r>
            <w:r>
              <w:rPr>
                <w:spacing w:val="-4"/>
                <w:sz w:val="18"/>
              </w:rPr>
              <w:t>981</w:t>
            </w:r>
          </w:p>
        </w:tc>
        <w:tc>
          <w:tcPr>
            <w:tcW w:w="1832" w:type="dxa"/>
          </w:tcPr>
          <w:p w14:paraId="3FB3CF0B" w14:textId="77777777" w:rsidR="006C24FF" w:rsidRDefault="006C24FF" w:rsidP="006C24FF">
            <w:pPr>
              <w:pStyle w:val="TableParagraph"/>
              <w:rPr>
                <w:b/>
                <w:sz w:val="18"/>
              </w:rPr>
            </w:pPr>
          </w:p>
          <w:p w14:paraId="701A9FE0" w14:textId="77777777" w:rsidR="006C24FF" w:rsidRDefault="006C24FF" w:rsidP="006C24FF">
            <w:pPr>
              <w:pStyle w:val="TableParagraph"/>
              <w:ind w:left="624" w:hanging="440"/>
              <w:rPr>
                <w:sz w:val="18"/>
              </w:rPr>
            </w:pPr>
            <w:r>
              <w:rPr>
                <w:sz w:val="18"/>
              </w:rPr>
              <w:t>Each</w:t>
            </w:r>
            <w:r>
              <w:rPr>
                <w:spacing w:val="-12"/>
                <w:sz w:val="18"/>
              </w:rPr>
              <w:t xml:space="preserve"> </w:t>
            </w:r>
            <w:r>
              <w:rPr>
                <w:sz w:val="18"/>
              </w:rPr>
              <w:t>type</w:t>
            </w:r>
            <w:r>
              <w:rPr>
                <w:spacing w:val="-11"/>
                <w:sz w:val="18"/>
              </w:rPr>
              <w:t xml:space="preserve"> </w:t>
            </w:r>
            <w:r>
              <w:rPr>
                <w:sz w:val="18"/>
              </w:rPr>
              <w:t>of</w:t>
            </w:r>
            <w:r>
              <w:rPr>
                <w:spacing w:val="-11"/>
                <w:sz w:val="18"/>
              </w:rPr>
              <w:t xml:space="preserve"> </w:t>
            </w:r>
            <w:r>
              <w:rPr>
                <w:sz w:val="18"/>
              </w:rPr>
              <w:t xml:space="preserve">sod </w:t>
            </w:r>
            <w:r>
              <w:rPr>
                <w:spacing w:val="-4"/>
                <w:sz w:val="18"/>
              </w:rPr>
              <w:t>used</w:t>
            </w:r>
          </w:p>
        </w:tc>
        <w:tc>
          <w:tcPr>
            <w:tcW w:w="1740" w:type="dxa"/>
          </w:tcPr>
          <w:p w14:paraId="48744E22" w14:textId="77777777" w:rsidR="006C24FF" w:rsidRDefault="006C24FF" w:rsidP="006C24FF">
            <w:pPr>
              <w:pStyle w:val="TableParagraph"/>
              <w:rPr>
                <w:b/>
                <w:sz w:val="18"/>
              </w:rPr>
            </w:pPr>
          </w:p>
          <w:p w14:paraId="30E64EA3" w14:textId="77777777" w:rsidR="006C24FF" w:rsidRDefault="006C24FF" w:rsidP="006C24FF">
            <w:pPr>
              <w:pStyle w:val="TableParagraph"/>
              <w:rPr>
                <w:b/>
                <w:sz w:val="18"/>
              </w:rPr>
            </w:pPr>
          </w:p>
          <w:p w14:paraId="0E63865B" w14:textId="77777777" w:rsidR="006C24FF" w:rsidRDefault="006C24FF" w:rsidP="006C24FF">
            <w:pPr>
              <w:pStyle w:val="TableParagraph"/>
              <w:ind w:left="16" w:right="1"/>
              <w:jc w:val="center"/>
              <w:rPr>
                <w:sz w:val="18"/>
              </w:rPr>
            </w:pPr>
            <w:r>
              <w:rPr>
                <w:spacing w:val="-2"/>
                <w:sz w:val="18"/>
              </w:rPr>
              <w:t>Certification</w:t>
            </w:r>
          </w:p>
        </w:tc>
        <w:tc>
          <w:tcPr>
            <w:tcW w:w="3664" w:type="dxa"/>
          </w:tcPr>
          <w:p w14:paraId="1B25FAF2" w14:textId="77777777" w:rsidR="006C24FF" w:rsidRDefault="006C24FF" w:rsidP="006C24FF">
            <w:pPr>
              <w:pStyle w:val="TableParagraph"/>
              <w:ind w:left="131" w:right="74"/>
              <w:jc w:val="center"/>
              <w:rPr>
                <w:sz w:val="18"/>
              </w:rPr>
            </w:pPr>
            <w:r>
              <w:rPr>
                <w:sz w:val="18"/>
              </w:rPr>
              <w:t>All</w:t>
            </w:r>
            <w:r>
              <w:rPr>
                <w:spacing w:val="-4"/>
                <w:sz w:val="18"/>
              </w:rPr>
              <w:t xml:space="preserve"> </w:t>
            </w:r>
            <w:r>
              <w:rPr>
                <w:sz w:val="18"/>
              </w:rPr>
              <w:t>seed,</w:t>
            </w:r>
            <w:r>
              <w:rPr>
                <w:spacing w:val="-3"/>
                <w:sz w:val="18"/>
              </w:rPr>
              <w:t xml:space="preserve"> </w:t>
            </w:r>
            <w:r>
              <w:rPr>
                <w:sz w:val="18"/>
              </w:rPr>
              <w:t>sod,</w:t>
            </w:r>
            <w:r>
              <w:rPr>
                <w:spacing w:val="-3"/>
                <w:sz w:val="18"/>
              </w:rPr>
              <w:t xml:space="preserve"> </w:t>
            </w:r>
            <w:r>
              <w:rPr>
                <w:sz w:val="18"/>
              </w:rPr>
              <w:t>and</w:t>
            </w:r>
            <w:r>
              <w:rPr>
                <w:spacing w:val="-3"/>
                <w:sz w:val="18"/>
              </w:rPr>
              <w:t xml:space="preserve"> </w:t>
            </w:r>
            <w:r>
              <w:rPr>
                <w:sz w:val="18"/>
              </w:rPr>
              <w:t>mulch</w:t>
            </w:r>
            <w:r>
              <w:rPr>
                <w:spacing w:val="-4"/>
                <w:sz w:val="18"/>
              </w:rPr>
              <w:t xml:space="preserve"> </w:t>
            </w:r>
            <w:r>
              <w:rPr>
                <w:sz w:val="18"/>
              </w:rPr>
              <w:t>shall</w:t>
            </w:r>
            <w:r>
              <w:rPr>
                <w:spacing w:val="-5"/>
                <w:sz w:val="18"/>
              </w:rPr>
              <w:t xml:space="preserve"> </w:t>
            </w:r>
            <w:r>
              <w:rPr>
                <w:sz w:val="18"/>
              </w:rPr>
              <w:t>be</w:t>
            </w:r>
            <w:r>
              <w:rPr>
                <w:spacing w:val="-6"/>
                <w:sz w:val="18"/>
              </w:rPr>
              <w:t xml:space="preserve"> </w:t>
            </w:r>
            <w:r>
              <w:rPr>
                <w:sz w:val="18"/>
              </w:rPr>
              <w:t>free</w:t>
            </w:r>
            <w:r>
              <w:rPr>
                <w:spacing w:val="-4"/>
                <w:sz w:val="18"/>
              </w:rPr>
              <w:t xml:space="preserve"> </w:t>
            </w:r>
            <w:r>
              <w:rPr>
                <w:sz w:val="18"/>
              </w:rPr>
              <w:t>of</w:t>
            </w:r>
            <w:r>
              <w:rPr>
                <w:spacing w:val="-4"/>
                <w:sz w:val="18"/>
              </w:rPr>
              <w:t xml:space="preserve"> </w:t>
            </w:r>
            <w:r>
              <w:rPr>
                <w:sz w:val="18"/>
              </w:rPr>
              <w:t>noxious</w:t>
            </w:r>
            <w:r>
              <w:rPr>
                <w:spacing w:val="-4"/>
                <w:sz w:val="18"/>
              </w:rPr>
              <w:t xml:space="preserve"> </w:t>
            </w:r>
            <w:r>
              <w:rPr>
                <w:sz w:val="18"/>
              </w:rPr>
              <w:t>weeds</w:t>
            </w:r>
            <w:r>
              <w:rPr>
                <w:spacing w:val="-4"/>
                <w:sz w:val="18"/>
              </w:rPr>
              <w:t xml:space="preserve"> </w:t>
            </w:r>
            <w:r>
              <w:rPr>
                <w:sz w:val="18"/>
              </w:rPr>
              <w:t>and exotic pest plants, plant parts, or seed listed in the current Category I “List of Invasive Species” from the Florida Exotic Pest Plant Council</w:t>
            </w:r>
          </w:p>
        </w:tc>
      </w:tr>
    </w:tbl>
    <w:p w14:paraId="3FD0C939" w14:textId="77777777" w:rsidR="00A87DE8" w:rsidRDefault="00A87DE8" w:rsidP="00A87DE8">
      <w:pPr>
        <w:spacing w:after="120" w:line="240" w:lineRule="auto"/>
        <w:jc w:val="both"/>
        <w:rPr>
          <w:rFonts w:ascii="Times New Roman" w:hAnsi="Times New Roman" w:cs="Times New Roman"/>
          <w:b/>
          <w:bCs/>
          <w:iCs/>
          <w:sz w:val="24"/>
          <w:szCs w:val="24"/>
          <w:highlight w:val="lightGray"/>
        </w:rPr>
      </w:pPr>
    </w:p>
    <w:p w14:paraId="536B648B" w14:textId="77777777" w:rsidR="00A87DE8" w:rsidRDefault="00A87DE8">
      <w:pPr>
        <w:rPr>
          <w:rFonts w:ascii="Times New Roman" w:hAnsi="Times New Roman" w:cs="Times New Roman"/>
          <w:b/>
          <w:bCs/>
          <w:iCs/>
          <w:sz w:val="24"/>
          <w:szCs w:val="24"/>
          <w:highlight w:val="lightGray"/>
        </w:rPr>
      </w:pPr>
      <w:r>
        <w:rPr>
          <w:rFonts w:ascii="Times New Roman" w:hAnsi="Times New Roman" w:cs="Times New Roman"/>
          <w:b/>
          <w:bCs/>
          <w:iCs/>
          <w:sz w:val="24"/>
          <w:szCs w:val="24"/>
          <w:highlight w:val="lightGray"/>
        </w:rPr>
        <w:br w:type="page"/>
      </w:r>
    </w:p>
    <w:p w14:paraId="1BB8EDD0" w14:textId="4224105E" w:rsidR="00EC3A4C" w:rsidRDefault="00EC3A4C" w:rsidP="00A87DE8">
      <w:pPr>
        <w:pStyle w:val="ListParagraph"/>
        <w:numPr>
          <w:ilvl w:val="0"/>
          <w:numId w:val="28"/>
        </w:numPr>
        <w:spacing w:after="120" w:line="240" w:lineRule="auto"/>
        <w:jc w:val="both"/>
        <w:rPr>
          <w:rFonts w:ascii="Times New Roman" w:hAnsi="Times New Roman" w:cs="Times New Roman"/>
          <w:b/>
          <w:bCs/>
          <w:sz w:val="24"/>
          <w:szCs w:val="24"/>
        </w:rPr>
      </w:pPr>
      <w:r w:rsidRPr="00A87DE8">
        <w:rPr>
          <w:rFonts w:ascii="Times New Roman" w:hAnsi="Times New Roman" w:cs="Times New Roman"/>
          <w:b/>
          <w:bCs/>
          <w:sz w:val="24"/>
          <w:szCs w:val="24"/>
        </w:rPr>
        <w:lastRenderedPageBreak/>
        <w:t>PROJECT LOCATION</w:t>
      </w:r>
    </w:p>
    <w:p w14:paraId="3AF7B738" w14:textId="77777777" w:rsidR="006707D0" w:rsidRPr="00A87DE8" w:rsidRDefault="006707D0" w:rsidP="006707D0">
      <w:pPr>
        <w:pStyle w:val="ListParagraph"/>
        <w:spacing w:after="120" w:line="240" w:lineRule="auto"/>
        <w:jc w:val="both"/>
        <w:rPr>
          <w:rFonts w:ascii="Times New Roman" w:hAnsi="Times New Roman" w:cs="Times New Roman"/>
          <w:b/>
          <w:bCs/>
          <w:sz w:val="24"/>
          <w:szCs w:val="24"/>
        </w:rPr>
      </w:pPr>
    </w:p>
    <w:p w14:paraId="56D257AE" w14:textId="31168996" w:rsidR="00EC3A4C" w:rsidRPr="00EC3A4C" w:rsidRDefault="00A638A7" w:rsidP="00EC3A4C">
      <w:pPr>
        <w:pStyle w:val="ListParagraph"/>
        <w:spacing w:after="120" w:line="240" w:lineRule="auto"/>
        <w:ind w:left="0"/>
        <w:contextualSpacing w:val="0"/>
        <w:jc w:val="both"/>
        <w:rPr>
          <w:rFonts w:ascii="Times New Roman" w:hAnsi="Times New Roman" w:cs="Times New Roman"/>
          <w:b/>
          <w:bCs/>
          <w:sz w:val="24"/>
          <w:szCs w:val="24"/>
        </w:rPr>
      </w:pPr>
      <w:r>
        <w:rPr>
          <w:noProof/>
        </w:rPr>
        <mc:AlternateContent>
          <mc:Choice Requires="wpg">
            <w:drawing>
              <wp:anchor distT="0" distB="0" distL="114300" distR="114300" simplePos="0" relativeHeight="251665408" behindDoc="0" locked="0" layoutInCell="1" allowOverlap="1" wp14:anchorId="48A91B34" wp14:editId="36A945B8">
                <wp:simplePos x="0" y="0"/>
                <wp:positionH relativeFrom="column">
                  <wp:posOffset>381000</wp:posOffset>
                </wp:positionH>
                <wp:positionV relativeFrom="paragraph">
                  <wp:posOffset>608330</wp:posOffset>
                </wp:positionV>
                <wp:extent cx="4667250" cy="2409825"/>
                <wp:effectExtent l="0" t="0" r="19050" b="28575"/>
                <wp:wrapNone/>
                <wp:docPr id="1857652751" name="Group 3"/>
                <wp:cNvGraphicFramePr/>
                <a:graphic xmlns:a="http://schemas.openxmlformats.org/drawingml/2006/main">
                  <a:graphicData uri="http://schemas.microsoft.com/office/word/2010/wordprocessingGroup">
                    <wpg:wgp>
                      <wpg:cNvGrpSpPr/>
                      <wpg:grpSpPr>
                        <a:xfrm>
                          <a:off x="0" y="0"/>
                          <a:ext cx="4667250" cy="2409825"/>
                          <a:chOff x="0" y="0"/>
                          <a:chExt cx="4667250" cy="2409825"/>
                        </a:xfrm>
                      </wpg:grpSpPr>
                      <wps:wsp>
                        <wps:cNvPr id="1577338029" name="Speech Bubble: Rectangle 1"/>
                        <wps:cNvSpPr/>
                        <wps:spPr>
                          <a:xfrm>
                            <a:off x="3009900" y="95250"/>
                            <a:ext cx="1104900" cy="276225"/>
                          </a:xfrm>
                          <a:prstGeom prst="wedgeRectCallout">
                            <a:avLst>
                              <a:gd name="adj1" fmla="val -98025"/>
                              <a:gd name="adj2" fmla="val 114224"/>
                            </a:avLst>
                          </a:prstGeom>
                        </wps:spPr>
                        <wps:style>
                          <a:lnRef idx="2">
                            <a:schemeClr val="accent6"/>
                          </a:lnRef>
                          <a:fillRef idx="1">
                            <a:schemeClr val="lt1"/>
                          </a:fillRef>
                          <a:effectRef idx="0">
                            <a:schemeClr val="accent6"/>
                          </a:effectRef>
                          <a:fontRef idx="minor">
                            <a:schemeClr val="dk1"/>
                          </a:fontRef>
                        </wps:style>
                        <wps:txbx>
                          <w:txbxContent>
                            <w:p w14:paraId="22E019CE" w14:textId="76405F01" w:rsidR="006707D0" w:rsidRPr="006707D0" w:rsidRDefault="006707D0" w:rsidP="006707D0">
                              <w:pPr>
                                <w:jc w:val="center"/>
                              </w:pPr>
                              <w:r w:rsidRPr="006707D0">
                                <w:t>Hancock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945909" name="Speech Bubble: Rectangle 1"/>
                        <wps:cNvSpPr/>
                        <wps:spPr>
                          <a:xfrm>
                            <a:off x="3562350" y="1666875"/>
                            <a:ext cx="1104900" cy="276225"/>
                          </a:xfrm>
                          <a:prstGeom prst="wedgeRectCallout">
                            <a:avLst>
                              <a:gd name="adj1" fmla="val -67853"/>
                              <a:gd name="adj2" fmla="val -178879"/>
                            </a:avLst>
                          </a:prstGeom>
                        </wps:spPr>
                        <wps:style>
                          <a:lnRef idx="2">
                            <a:schemeClr val="accent6"/>
                          </a:lnRef>
                          <a:fillRef idx="1">
                            <a:schemeClr val="lt1"/>
                          </a:fillRef>
                          <a:effectRef idx="0">
                            <a:schemeClr val="accent6"/>
                          </a:effectRef>
                          <a:fontRef idx="minor">
                            <a:schemeClr val="dk1"/>
                          </a:fontRef>
                        </wps:style>
                        <wps:txbx>
                          <w:txbxContent>
                            <w:p w14:paraId="018C5FFB" w14:textId="0D99838A" w:rsidR="006707D0" w:rsidRPr="006707D0" w:rsidRDefault="006707D0" w:rsidP="006707D0">
                              <w:pPr>
                                <w:jc w:val="center"/>
                              </w:pPr>
                              <w:r>
                                <w:t>Regency Hills 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138489" name="Speech Bubble: Rectangle 1"/>
                        <wps:cNvSpPr/>
                        <wps:spPr>
                          <a:xfrm>
                            <a:off x="1266825" y="0"/>
                            <a:ext cx="1104900" cy="466725"/>
                          </a:xfrm>
                          <a:prstGeom prst="wedgeRectCallout">
                            <a:avLst>
                              <a:gd name="adj1" fmla="val 11457"/>
                              <a:gd name="adj2" fmla="val 222669"/>
                            </a:avLst>
                          </a:prstGeom>
                        </wps:spPr>
                        <wps:style>
                          <a:lnRef idx="2">
                            <a:schemeClr val="accent6"/>
                          </a:lnRef>
                          <a:fillRef idx="1">
                            <a:schemeClr val="lt1"/>
                          </a:fillRef>
                          <a:effectRef idx="0">
                            <a:schemeClr val="accent6"/>
                          </a:effectRef>
                          <a:fontRef idx="minor">
                            <a:schemeClr val="dk1"/>
                          </a:fontRef>
                        </wps:style>
                        <wps:txbx>
                          <w:txbxContent>
                            <w:p w14:paraId="3CFD1CE5" w14:textId="526AD44C" w:rsidR="006707D0" w:rsidRPr="006707D0" w:rsidRDefault="006707D0" w:rsidP="006707D0">
                              <w:pPr>
                                <w:jc w:val="center"/>
                              </w:pPr>
                              <w:r>
                                <w:t>Hartwood Marsh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877892" name="Speech Bubble: Rectangle 1"/>
                        <wps:cNvSpPr/>
                        <wps:spPr>
                          <a:xfrm>
                            <a:off x="0" y="2133600"/>
                            <a:ext cx="1104900" cy="276225"/>
                          </a:xfrm>
                          <a:prstGeom prst="wedgeRectCallout">
                            <a:avLst>
                              <a:gd name="adj1" fmla="val 51112"/>
                              <a:gd name="adj2" fmla="val -271982"/>
                            </a:avLst>
                          </a:prstGeom>
                        </wps:spPr>
                        <wps:style>
                          <a:lnRef idx="2">
                            <a:schemeClr val="accent6"/>
                          </a:lnRef>
                          <a:fillRef idx="1">
                            <a:schemeClr val="lt1"/>
                          </a:fillRef>
                          <a:effectRef idx="0">
                            <a:schemeClr val="accent6"/>
                          </a:effectRef>
                          <a:fontRef idx="minor">
                            <a:schemeClr val="dk1"/>
                          </a:fontRef>
                        </wps:style>
                        <wps:txbx>
                          <w:txbxContent>
                            <w:p w14:paraId="014EB80B" w14:textId="49251DC2" w:rsidR="006707D0" w:rsidRPr="006707D0" w:rsidRDefault="006707D0" w:rsidP="006707D0">
                              <w:r>
                                <w:t>US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A91B34" id="Group 3" o:spid="_x0000_s1026" style="position:absolute;left:0;text-align:left;margin-left:30pt;margin-top:47.9pt;width:367.5pt;height:189.75pt;z-index:251665408" coordsize="46672,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8I2QMAAOQSAAAOAAAAZHJzL2Uyb0RvYy54bWzsWF1v2zYUfR+w/0DwPbFI69OIUmTpGgwI&#10;2qDp0GeaomxtFKmRdOTs1++SkhWnddu1TfNQ+EUiRV7y3qPDo3t19mLbSnQnjG20KjE5jTASiuuq&#10;UasS//nu1UmOkXVMVUxqJUp8Lyx+cf7rL2d9txBUr7WshEGwiLKLvivx2rluMZtZvhYts6e6EwoG&#10;a21a5qBrVrPKsB5Wb+WMRlE667WpOqO5sBaevhwG8XlYv64Fd2/q2gqHZInBNxeuJlyX/jo7P2OL&#10;lWHduuGjG+wbvGhZo2DTaamXzDG0Mc1HS7UNN9rq2p1y3c50XTdchBggGhJ9EM2V0ZsuxLJa9Ktu&#10;ggmg/QCnb16Wv767Mt1td2MAib5bARah52PZ1qb1d/ASbQNk9xNkYusQh4dxmmY0AWQ5jNE4KnKa&#10;DKDyNSD/kR1f//4Fy9lu49kjd/oOCGIfMLDfh8HtmnUiQGsXgMGNQU0F/E2ybD7PI1pgpFgLfL3t&#10;hOBr9NtmuZRigd4CoZhaSYGIj9I7BdYTfHZhAckD2M2jqCgigAlQKhIPWCDeDkVCojgMBxSzlA4g&#10;TlCwRWesuxK6Rb5R4l5UK+GduWRS6o0L3GN319YFElaj96z6i2BUtxI4fcckOikgtvH9rPYm0f1J&#10;hMSUxt5B2H9cE1o7D+CxD3sINLTcvRR+W6neihpwBFrQ4FA4xeJSGgSbl5hxLpRLx5XDbG9WN1JO&#10;huSQoXQBbXBinOvNRDjdk2F0yPDxjpNF2FUrNxm3jdLm0ALV39POw/xd9EPMPny3XW5HKix1dQ9M&#10;MnqQGdvxVw28rmtm3Q0z8A6AAKCV7g1caqn7EuuxhdFam38PPffzgeowilEPOlVi+8+GGYGR/EPB&#10;IShIHHthC504ySh0zP7Icn9EbdpLDa8CWAHehaaf7+SuWRvdvgdJvfC7whBTHPYuMXdm17l0g36C&#10;KHNxcRGmgZh1zF2r2477xT3Ani/vtu+Z6UbOOmD7a707eCO1BpY9zPWWSl9snK4b5wc9xAOuYwdE&#10;YDh4P1wNkiwv4qSInlwMkpTOvWaCGJA0TfNsPJLPLgdplifzQYo+KQcnJMvzrDjqgZew/6kHw8fE&#10;Q/ZA36Ms/CSyQNIkIfM8zp9aFwgFLYDPs9eFzyUIQ841Hshdkrb7PH9fggDf/iT7giBQCn4e9SCk&#10;NF+jB/SoBz9lmkDoPMszyBUgi37SomHIECiZz1MoHeBjAknvWDw9V8GQEEICb6Gy/VS9cEIzAmXf&#10;qEfHgmEEov5cwRAShJB5HROE56wbwj8F+JUCtcSjfzX7/VBnPPycOv8PAAD//wMAUEsDBBQABgAI&#10;AAAAIQCLT6vO4QAAAAkBAAAPAAAAZHJzL2Rvd25yZXYueG1sTI9NT8MwDIbvSPyHyEjcWFpG91Ga&#10;TtMEnKZJbEhoN6/x2mpNUjVZ2/17zAmO9mu9fp5sNZpG9NT52lkF8SQCQbZwuralgq/D+9MChA9o&#10;NTbOkoIbeVjl93cZptoN9pP6fSgFl1ifooIqhDaV0hcVGfQT15Ll7Ow6g4HHrpS6w4HLTSOfo2gm&#10;DdaWP1TY0qai4rK/GgUfAw7rafzWby/nze14SHbf25iUenwY168gAo3h7xh+8RkdcmY6uavVXjQK&#10;ZhGrBAXLhA04ny8TXpwUvMyTKcg8k/8N8h8AAAD//wMAUEsBAi0AFAAGAAgAAAAhALaDOJL+AAAA&#10;4QEAABMAAAAAAAAAAAAAAAAAAAAAAFtDb250ZW50X1R5cGVzXS54bWxQSwECLQAUAAYACAAAACEA&#10;OP0h/9YAAACUAQAACwAAAAAAAAAAAAAAAAAvAQAAX3JlbHMvLnJlbHNQSwECLQAUAAYACAAAACEA&#10;JGZPCNkDAADkEgAADgAAAAAAAAAAAAAAAAAuAgAAZHJzL2Uyb0RvYy54bWxQSwECLQAUAAYACAAA&#10;ACEAi0+rzuEAAAAJAQAADwAAAAAAAAAAAAAAAAAzBgAAZHJzL2Rvd25yZXYueG1sUEsFBgAAAAAE&#10;AAQA8wAAAEE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7" type="#_x0000_t61" style="position:absolute;left:30099;top:952;width:1104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7RxwAAAOMAAAAPAAAAZHJzL2Rvd25yZXYueG1sRE9fa8Iw&#10;EH8f7DuEG/g2U61O7Ywigjj2MJgOn4/m1sY2l9KktX77ZTDY4/3+33o72Fr01HrjWMFknIAgzp02&#10;XCj4Oh+elyB8QNZYOyYFd/Kw3Tw+rDHT7saf1J9CIWII+wwVlCE0mZQ+L8miH7uGOHLfrrUY4tkW&#10;Urd4i+G2ltMkeZEWDceGEhval5RXp84q+DhLfZ13R2v6eyrNLFSX965SavQ07F5BBBrCv/jP/abj&#10;/PlikabLZLqC358iAHLzAwAA//8DAFBLAQItABQABgAIAAAAIQDb4fbL7gAAAIUBAAATAAAAAAAA&#10;AAAAAAAAAAAAAABbQ29udGVudF9UeXBlc10ueG1sUEsBAi0AFAAGAAgAAAAhAFr0LFu/AAAAFQEA&#10;AAsAAAAAAAAAAAAAAAAAHwEAAF9yZWxzLy5yZWxzUEsBAi0AFAAGAAgAAAAhACQkHtHHAAAA4wAA&#10;AA8AAAAAAAAAAAAAAAAABwIAAGRycy9kb3ducmV2LnhtbFBLBQYAAAAAAwADALcAAAD7AgAAAAA=&#10;" adj="-10373,35472" fillcolor="white [3201]" strokecolor="#70ad47 [3209]" strokeweight="1pt">
                  <v:textbox>
                    <w:txbxContent>
                      <w:p w14:paraId="22E019CE" w14:textId="76405F01" w:rsidR="006707D0" w:rsidRPr="006707D0" w:rsidRDefault="006707D0" w:rsidP="006707D0">
                        <w:pPr>
                          <w:jc w:val="center"/>
                        </w:pPr>
                        <w:r w:rsidRPr="006707D0">
                          <w:t>Hancock Road</w:t>
                        </w:r>
                      </w:p>
                    </w:txbxContent>
                  </v:textbox>
                </v:shape>
                <v:shape id="Speech Bubble: Rectangle 1" o:spid="_x0000_s1028" type="#_x0000_t61" style="position:absolute;left:35623;top:16668;width:1104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qbygAAAOIAAAAPAAAAZHJzL2Rvd25yZXYueG1sRI9PawIx&#10;FMTvQr9DeAUvpSaV2rpbo5RCq14K/gGvj81zdzF5WTbpun57IxQ8DjPzG2a26J0VHbWh9qzhZaRA&#10;EBfe1Fxq2O++n6cgQkQ2aD2ThgsFWMwfBjPMjT/zhrptLEWCcMhRQxVjk0sZioochpFviJN39K3D&#10;mGRbStPiOcGdlWOl3qTDmtNChQ19VVSctn9Ow8/yYn7Xe1scuo05ZO7pVFqvtB4+9p8fICL18R7+&#10;b6+Mhsn7NHudZCqD26V0B+T8CgAA//8DAFBLAQItABQABgAIAAAAIQDb4fbL7gAAAIUBAAATAAAA&#10;AAAAAAAAAAAAAAAAAABbQ29udGVudF9UeXBlc10ueG1sUEsBAi0AFAAGAAgAAAAhAFr0LFu/AAAA&#10;FQEAAAsAAAAAAAAAAAAAAAAAHwEAAF9yZWxzLy5yZWxzUEsBAi0AFAAGAAgAAAAhAG6UupvKAAAA&#10;4gAAAA8AAAAAAAAAAAAAAAAABwIAAGRycy9kb3ducmV2LnhtbFBLBQYAAAAAAwADALcAAAD+AgAA&#10;AAA=&#10;" adj="-3856,-27838" fillcolor="white [3201]" strokecolor="#70ad47 [3209]" strokeweight="1pt">
                  <v:textbox>
                    <w:txbxContent>
                      <w:p w14:paraId="018C5FFB" w14:textId="0D99838A" w:rsidR="006707D0" w:rsidRPr="006707D0" w:rsidRDefault="006707D0" w:rsidP="006707D0">
                        <w:pPr>
                          <w:jc w:val="center"/>
                        </w:pPr>
                        <w:r>
                          <w:t>Regency Hills Rad</w:t>
                        </w:r>
                      </w:p>
                    </w:txbxContent>
                  </v:textbox>
                </v:shape>
                <v:shape id="Speech Bubble: Rectangle 1" o:spid="_x0000_s1029" type="#_x0000_t61" style="position:absolute;left:12668;width:1104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sFyQAAAOMAAAAPAAAAZHJzL2Rvd25yZXYueG1sRE/NasJA&#10;EL4X+g7LFLwU3ZiqxOgqRRC99KD24HHIjkkwOxuz2yT26d2C0ON8/7Nc96YSLTWutKxgPIpAEGdW&#10;l5wr+D5thwkI55E1VpZJwZ0crFevL0tMte34QO3R5yKEsEtRQeF9nUrpsoIMupGtiQN3sY1BH84m&#10;l7rBLoSbSsZRNJMGSw4NBda0KSi7Hn+Mgt0m3l3Pp+5r0vr3+GB/b2fa3pQavPWfCxCeev8vfrr3&#10;OsyfTafjj2SSzOHvpwCAXD0AAAD//wMAUEsBAi0AFAAGAAgAAAAhANvh9svuAAAAhQEAABMAAAAA&#10;AAAAAAAAAAAAAAAAAFtDb250ZW50X1R5cGVzXS54bWxQSwECLQAUAAYACAAAACEAWvQsW78AAAAV&#10;AQAACwAAAAAAAAAAAAAAAAAfAQAAX3JlbHMvLnJlbHNQSwECLQAUAAYACAAAACEAQXI7BckAAADj&#10;AAAADwAAAAAAAAAAAAAAAAAHAgAAZHJzL2Rvd25yZXYueG1sUEsFBgAAAAADAAMAtwAAAP0CAAAA&#10;AA==&#10;" adj="13275,58897" fillcolor="white [3201]" strokecolor="#70ad47 [3209]" strokeweight="1pt">
                  <v:textbox>
                    <w:txbxContent>
                      <w:p w14:paraId="3CFD1CE5" w14:textId="526AD44C" w:rsidR="006707D0" w:rsidRPr="006707D0" w:rsidRDefault="006707D0" w:rsidP="006707D0">
                        <w:pPr>
                          <w:jc w:val="center"/>
                        </w:pPr>
                        <w:r>
                          <w:t>Hartwood Marsh Road</w:t>
                        </w:r>
                      </w:p>
                    </w:txbxContent>
                  </v:textbox>
                </v:shape>
                <v:shape id="Speech Bubble: Rectangle 1" o:spid="_x0000_s1030" type="#_x0000_t61" style="position:absolute;top:21336;width:1104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29yQAAAOMAAAAPAAAAZHJzL2Rvd25yZXYueG1sRE9fS8Mw&#10;EH8X9h3CCb4Ml65DW+uyMWWDoqBs8wOczdmWNpeaxK1+eyMIPt7v/y3Xo+nFiZxvLSuYzxIQxJXV&#10;LdcK3o676xyED8gae8uk4Js8rFeTiyUW2p55T6dDqEUMYV+ggiaEoZDSVw0Z9DM7EEfuwzqDIZ6u&#10;ltrhOYabXqZJcisNthwbGhzosaGqO3wZBdOH5yc3b9+zz+7lZrH107LuXkulri7HzT2IQGP4F/+5&#10;Sx3np4ssz7L8LoXfnyIAcvUDAAD//wMAUEsBAi0AFAAGAAgAAAAhANvh9svuAAAAhQEAABMAAAAA&#10;AAAAAAAAAAAAAAAAAFtDb250ZW50X1R5cGVzXS54bWxQSwECLQAUAAYACAAAACEAWvQsW78AAAAV&#10;AQAACwAAAAAAAAAAAAAAAAAfAQAAX3JlbHMvLnJlbHNQSwECLQAUAAYACAAAACEA6CndvckAAADj&#10;AAAADwAAAAAAAAAAAAAAAAAHAgAAZHJzL2Rvd25yZXYueG1sUEsFBgAAAAADAAMAtwAAAP0CAAAA&#10;AA==&#10;" adj="21840,-47948" fillcolor="white [3201]" strokecolor="#70ad47 [3209]" strokeweight="1pt">
                  <v:textbox>
                    <w:txbxContent>
                      <w:p w14:paraId="014EB80B" w14:textId="49251DC2" w:rsidR="006707D0" w:rsidRPr="006707D0" w:rsidRDefault="006707D0" w:rsidP="006707D0">
                        <w:r>
                          <w:t>US 27</w:t>
                        </w:r>
                      </w:p>
                    </w:txbxContent>
                  </v:textbox>
                </v:shape>
              </v:group>
            </w:pict>
          </mc:Fallback>
        </mc:AlternateContent>
      </w:r>
      <w:r w:rsidR="00A87DE8">
        <w:rPr>
          <w:noProof/>
        </w:rPr>
        <w:drawing>
          <wp:inline distT="0" distB="0" distL="0" distR="0" wp14:anchorId="5A06D769" wp14:editId="2F455D5C">
            <wp:extent cx="6046992" cy="3571875"/>
            <wp:effectExtent l="0" t="0" r="0" b="0"/>
            <wp:docPr id="900140105"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40105" name="Picture 1" descr="Map&#10;&#10;AI-generated content may be incorrect."/>
                    <pic:cNvPicPr/>
                  </pic:nvPicPr>
                  <pic:blipFill rotWithShape="1">
                    <a:blip r:embed="rId9"/>
                    <a:srcRect l="12749" t="24083" r="23819" b="12138"/>
                    <a:stretch>
                      <a:fillRect/>
                    </a:stretch>
                  </pic:blipFill>
                  <pic:spPr bwMode="auto">
                    <a:xfrm>
                      <a:off x="0" y="0"/>
                      <a:ext cx="6052976" cy="3575409"/>
                    </a:xfrm>
                    <a:prstGeom prst="rect">
                      <a:avLst/>
                    </a:prstGeom>
                    <a:ln>
                      <a:noFill/>
                    </a:ln>
                    <a:extLst>
                      <a:ext uri="{53640926-AAD7-44D8-BBD7-CCE9431645EC}">
                        <a14:shadowObscured xmlns:a14="http://schemas.microsoft.com/office/drawing/2010/main"/>
                      </a:ext>
                    </a:extLst>
                  </pic:spPr>
                </pic:pic>
              </a:graphicData>
            </a:graphic>
          </wp:inline>
        </w:drawing>
      </w:r>
    </w:p>
    <w:sectPr w:rsidR="00EC3A4C" w:rsidRPr="00EC3A4C" w:rsidSect="006C24FF">
      <w:headerReference w:type="default" r:id="rId10"/>
      <w:footerReference w:type="default" r:id="rId11"/>
      <w:pgSz w:w="12240" w:h="15840" w:code="1"/>
      <w:pgMar w:top="1170" w:right="1152" w:bottom="900" w:left="1440" w:header="44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C7F6" w14:textId="77777777" w:rsidR="00A1485E" w:rsidRDefault="00A1485E" w:rsidP="00CF0E5A">
      <w:pPr>
        <w:spacing w:after="0" w:line="240" w:lineRule="auto"/>
      </w:pPr>
      <w:r>
        <w:separator/>
      </w:r>
    </w:p>
  </w:endnote>
  <w:endnote w:type="continuationSeparator" w:id="0">
    <w:p w14:paraId="57254D38" w14:textId="77777777" w:rsidR="00A1485E" w:rsidRDefault="00A1485E" w:rsidP="00CF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958384"/>
      <w:docPartObj>
        <w:docPartGallery w:val="Page Numbers (Bottom of Page)"/>
        <w:docPartUnique/>
      </w:docPartObj>
    </w:sdtPr>
    <w:sdtEndPr/>
    <w:sdtContent>
      <w:sdt>
        <w:sdtPr>
          <w:id w:val="-1769616900"/>
          <w:docPartObj>
            <w:docPartGallery w:val="Page Numbers (Top of Page)"/>
            <w:docPartUnique/>
          </w:docPartObj>
        </w:sdtPr>
        <w:sdtEndPr/>
        <w:sdtContent>
          <w:p w14:paraId="17461726" w14:textId="77777777" w:rsidR="00A06F53" w:rsidRDefault="00A06F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76F2C958" w14:textId="77777777" w:rsidR="00A06F53" w:rsidRDefault="00A06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24AAF" w14:textId="77777777" w:rsidR="00A1485E" w:rsidRDefault="00A1485E" w:rsidP="00CF0E5A">
      <w:pPr>
        <w:spacing w:after="0" w:line="240" w:lineRule="auto"/>
      </w:pPr>
      <w:r>
        <w:separator/>
      </w:r>
    </w:p>
  </w:footnote>
  <w:footnote w:type="continuationSeparator" w:id="0">
    <w:p w14:paraId="1E7D3BCB" w14:textId="77777777" w:rsidR="00A1485E" w:rsidRDefault="00A1485E" w:rsidP="00CF0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BE29" w14:textId="113D2C44" w:rsidR="001B05D3" w:rsidRDefault="00A06F53" w:rsidP="00A06F53">
    <w:pPr>
      <w:pStyle w:val="Header"/>
      <w:tabs>
        <w:tab w:val="clear" w:pos="4680"/>
        <w:tab w:val="left" w:pos="1980"/>
        <w:tab w:val="center" w:pos="4770"/>
      </w:tabs>
      <w:rPr>
        <w:rFonts w:ascii="Times New Roman" w:hAnsi="Times New Roman" w:cs="Times New Roman"/>
        <w:b/>
        <w:sz w:val="24"/>
        <w:szCs w:val="24"/>
      </w:rPr>
    </w:pPr>
    <w:r w:rsidRPr="00A06F53">
      <w:rPr>
        <w:rFonts w:ascii="Times New Roman" w:hAnsi="Times New Roman" w:cs="Times New Roman"/>
        <w:b/>
        <w:sz w:val="24"/>
        <w:szCs w:val="24"/>
      </w:rPr>
      <w:t>EXHIBIT A – SCOPE OF WORK</w:t>
    </w:r>
    <w:r w:rsidR="001E070E">
      <w:rPr>
        <w:rFonts w:ascii="Times New Roman" w:hAnsi="Times New Roman" w:cs="Times New Roman"/>
        <w:b/>
        <w:sz w:val="24"/>
        <w:szCs w:val="24"/>
      </w:rPr>
      <w:tab/>
    </w:r>
    <w:r w:rsidR="001E070E">
      <w:rPr>
        <w:rFonts w:ascii="Times New Roman" w:hAnsi="Times New Roman" w:cs="Times New Roman"/>
        <w:b/>
        <w:sz w:val="24"/>
        <w:szCs w:val="24"/>
      </w:rPr>
      <w:tab/>
    </w:r>
    <w:r w:rsidR="00926CF2" w:rsidRPr="009044F5">
      <w:rPr>
        <w:rFonts w:ascii="Times New Roman" w:hAnsi="Times New Roman" w:cs="Times New Roman"/>
        <w:b/>
        <w:sz w:val="24"/>
        <w:szCs w:val="24"/>
      </w:rPr>
      <w:t>2</w:t>
    </w:r>
    <w:r w:rsidR="006A723E">
      <w:rPr>
        <w:rFonts w:ascii="Times New Roman" w:hAnsi="Times New Roman" w:cs="Times New Roman"/>
        <w:b/>
        <w:sz w:val="24"/>
        <w:szCs w:val="24"/>
      </w:rPr>
      <w:t>6</w:t>
    </w:r>
    <w:r w:rsidR="00FB7DB7" w:rsidRPr="009044F5">
      <w:rPr>
        <w:rFonts w:ascii="Times New Roman" w:hAnsi="Times New Roman" w:cs="Times New Roman"/>
        <w:b/>
        <w:sz w:val="24"/>
        <w:szCs w:val="24"/>
      </w:rPr>
      <w:t>-</w:t>
    </w:r>
    <w:r w:rsidR="009372EC">
      <w:rPr>
        <w:rFonts w:ascii="Times New Roman" w:hAnsi="Times New Roman" w:cs="Times New Roman"/>
        <w:b/>
        <w:sz w:val="24"/>
        <w:szCs w:val="24"/>
      </w:rPr>
      <w:t>712</w:t>
    </w:r>
  </w:p>
  <w:p w14:paraId="13787A17" w14:textId="341BBAE9" w:rsidR="00CF0E5A" w:rsidRPr="00A06F53" w:rsidRDefault="00095FC9" w:rsidP="00A06F53">
    <w:pPr>
      <w:pStyle w:val="Header"/>
      <w:tabs>
        <w:tab w:val="clear" w:pos="4680"/>
        <w:tab w:val="left" w:pos="1980"/>
        <w:tab w:val="center" w:pos="4770"/>
      </w:tabs>
      <w:rPr>
        <w:rFonts w:ascii="Times New Roman" w:hAnsi="Times New Roman" w:cs="Times New Roman"/>
        <w:b/>
        <w:sz w:val="24"/>
        <w:szCs w:val="24"/>
      </w:rPr>
    </w:pPr>
    <w:r>
      <w:rPr>
        <w:rFonts w:ascii="Times New Roman" w:hAnsi="Times New Roman" w:cs="Times New Roman"/>
        <w:b/>
        <w:sz w:val="24"/>
        <w:szCs w:val="24"/>
      </w:rPr>
      <w:t>C</w:t>
    </w:r>
    <w:r w:rsidR="001B05D3">
      <w:rPr>
        <w:rFonts w:ascii="Times New Roman" w:hAnsi="Times New Roman" w:cs="Times New Roman"/>
        <w:b/>
        <w:sz w:val="24"/>
        <w:szCs w:val="24"/>
      </w:rPr>
      <w:t>EI</w:t>
    </w:r>
    <w:r w:rsidR="00BA4DF6">
      <w:rPr>
        <w:rFonts w:ascii="Times New Roman" w:hAnsi="Times New Roman" w:cs="Times New Roman"/>
        <w:b/>
        <w:sz w:val="24"/>
        <w:szCs w:val="24"/>
      </w:rPr>
      <w:t xml:space="preserve"> SERVICES FOR</w:t>
    </w:r>
    <w:r w:rsidR="009372EC">
      <w:rPr>
        <w:rFonts w:ascii="Times New Roman" w:hAnsi="Times New Roman" w:cs="Times New Roman"/>
        <w:b/>
        <w:sz w:val="24"/>
        <w:szCs w:val="24"/>
      </w:rPr>
      <w:t xml:space="preserve"> </w:t>
    </w:r>
    <w:r w:rsidR="006A723E">
      <w:rPr>
        <w:rFonts w:ascii="Times New Roman" w:hAnsi="Times New Roman" w:cs="Times New Roman"/>
        <w:b/>
        <w:sz w:val="24"/>
        <w:szCs w:val="24"/>
      </w:rPr>
      <w:t>HARTWOOD MARSH ROAD</w:t>
    </w:r>
    <w:r w:rsidR="001B05D3">
      <w:rPr>
        <w:rFonts w:ascii="Times New Roman" w:hAnsi="Times New Roman" w:cs="Times New Roman"/>
        <w:b/>
        <w:sz w:val="24"/>
        <w:szCs w:val="24"/>
      </w:rPr>
      <w:t xml:space="preserve"> FROM US27</w:t>
    </w:r>
    <w:r w:rsidR="006A723E">
      <w:rPr>
        <w:rFonts w:ascii="Times New Roman" w:hAnsi="Times New Roman" w:cs="Times New Roman"/>
        <w:b/>
        <w:sz w:val="24"/>
        <w:szCs w:val="24"/>
      </w:rPr>
      <w:t xml:space="preserve"> TO </w:t>
    </w:r>
    <w:r w:rsidR="006A723E" w:rsidRPr="006A723E">
      <w:rPr>
        <w:rFonts w:ascii="Times New Roman" w:hAnsi="Times New Roman" w:cs="Times New Roman"/>
        <w:b/>
        <w:sz w:val="24"/>
        <w:szCs w:val="24"/>
      </w:rPr>
      <w:t xml:space="preserve">MAJESTIC ISLE DRIVE (aka </w:t>
    </w:r>
    <w:r w:rsidR="006A723E">
      <w:rPr>
        <w:rFonts w:ascii="Times New Roman" w:hAnsi="Times New Roman" w:cs="Times New Roman"/>
        <w:b/>
        <w:sz w:val="24"/>
        <w:szCs w:val="24"/>
      </w:rPr>
      <w:t>REGENCY HILLS DRIVE)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512"/>
    <w:multiLevelType w:val="hybridMultilevel"/>
    <w:tmpl w:val="635C326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5634A"/>
    <w:multiLevelType w:val="hybridMultilevel"/>
    <w:tmpl w:val="D8C0EAEC"/>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1C8C51A6"/>
    <w:multiLevelType w:val="hybridMultilevel"/>
    <w:tmpl w:val="ED1001C6"/>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73F7F"/>
    <w:multiLevelType w:val="hybridMultilevel"/>
    <w:tmpl w:val="F642F1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958FA"/>
    <w:multiLevelType w:val="hybridMultilevel"/>
    <w:tmpl w:val="6B40D810"/>
    <w:lvl w:ilvl="0" w:tplc="8F4C0134">
      <w:start w:val="1"/>
      <w:numFmt w:val="upp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8E3AE6"/>
    <w:multiLevelType w:val="hybridMultilevel"/>
    <w:tmpl w:val="190AED3A"/>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F520A"/>
    <w:multiLevelType w:val="hybridMultilevel"/>
    <w:tmpl w:val="2CAC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069B1"/>
    <w:multiLevelType w:val="hybridMultilevel"/>
    <w:tmpl w:val="DC00AAD8"/>
    <w:lvl w:ilvl="0" w:tplc="928A22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1341DC"/>
    <w:multiLevelType w:val="hybridMultilevel"/>
    <w:tmpl w:val="9788D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467A1"/>
    <w:multiLevelType w:val="multilevel"/>
    <w:tmpl w:val="95B029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CFA7FB2"/>
    <w:multiLevelType w:val="hybridMultilevel"/>
    <w:tmpl w:val="3F6EA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BF31C2"/>
    <w:multiLevelType w:val="hybridMultilevel"/>
    <w:tmpl w:val="1F6A7A4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8C184F"/>
    <w:multiLevelType w:val="multilevel"/>
    <w:tmpl w:val="67720ACA"/>
    <w:lvl w:ilvl="0">
      <w:start w:val="4"/>
      <w:numFmt w:val="decimal"/>
      <w:lvlText w:val="%1"/>
      <w:lvlJc w:val="left"/>
      <w:pPr>
        <w:ind w:left="555" w:hanging="555"/>
      </w:pPr>
      <w:rPr>
        <w:rFonts w:hint="default"/>
      </w:rPr>
    </w:lvl>
    <w:lvl w:ilvl="1">
      <w:start w:val="1"/>
      <w:numFmt w:val="decimal"/>
      <w:lvlText w:val="%1.%2"/>
      <w:lvlJc w:val="left"/>
      <w:pPr>
        <w:ind w:left="1740" w:hanging="72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520" w:hanging="144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920" w:hanging="1800"/>
      </w:pPr>
      <w:rPr>
        <w:rFonts w:hint="default"/>
      </w:rPr>
    </w:lvl>
    <w:lvl w:ilvl="7">
      <w:start w:val="1"/>
      <w:numFmt w:val="decimal"/>
      <w:lvlText w:val="%1.%2.%3.%4.%5.%6.%7.%8"/>
      <w:lvlJc w:val="left"/>
      <w:pPr>
        <w:ind w:left="9300" w:hanging="2160"/>
      </w:pPr>
      <w:rPr>
        <w:rFonts w:hint="default"/>
      </w:rPr>
    </w:lvl>
    <w:lvl w:ilvl="8">
      <w:start w:val="1"/>
      <w:numFmt w:val="decimal"/>
      <w:lvlText w:val="%1.%2.%3.%4.%5.%6.%7.%8.%9"/>
      <w:lvlJc w:val="left"/>
      <w:pPr>
        <w:ind w:left="10320" w:hanging="2160"/>
      </w:pPr>
      <w:rPr>
        <w:rFonts w:hint="default"/>
      </w:rPr>
    </w:lvl>
  </w:abstractNum>
  <w:abstractNum w:abstractNumId="13" w15:restartNumberingAfterBreak="0">
    <w:nsid w:val="48D856D0"/>
    <w:multiLevelType w:val="hybridMultilevel"/>
    <w:tmpl w:val="54D02734"/>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40E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737AF0"/>
    <w:multiLevelType w:val="multilevel"/>
    <w:tmpl w:val="81BEF526"/>
    <w:lvl w:ilvl="0">
      <w:start w:val="1"/>
      <w:numFmt w:val="decimal"/>
      <w:lvlText w:val="%1."/>
      <w:lvlJc w:val="left"/>
      <w:pPr>
        <w:ind w:left="360" w:hanging="360"/>
      </w:pPr>
      <w:rPr>
        <w:rFonts w:ascii="Times New Roman" w:hAnsi="Times New Roman" w:cs="Times New Roman" w:hint="default"/>
        <w:b/>
        <w:bCs/>
        <w:i w:val="0"/>
        <w:iCs/>
        <w:color w:val="auto"/>
        <w:sz w:val="24"/>
        <w:szCs w:val="24"/>
      </w:rPr>
    </w:lvl>
    <w:lvl w:ilvl="1">
      <w:start w:val="1"/>
      <w:numFmt w:val="decimal"/>
      <w:lvlText w:val="%1.%2."/>
      <w:lvlJc w:val="left"/>
      <w:pPr>
        <w:ind w:left="792" w:hanging="432"/>
      </w:pPr>
      <w:rPr>
        <w:rFonts w:ascii="Times New Roman" w:hAnsi="Times New Roman" w:cs="Times New Roman"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394820"/>
    <w:multiLevelType w:val="hybridMultilevel"/>
    <w:tmpl w:val="8E18901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581A75"/>
    <w:multiLevelType w:val="hybridMultilevel"/>
    <w:tmpl w:val="806E8A04"/>
    <w:lvl w:ilvl="0" w:tplc="444C665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342254"/>
    <w:multiLevelType w:val="hybridMultilevel"/>
    <w:tmpl w:val="6E0C4866"/>
    <w:lvl w:ilvl="0" w:tplc="04090017">
      <w:start w:val="1"/>
      <w:numFmt w:val="lowerLetter"/>
      <w:lvlText w:val="%1)"/>
      <w:lvlJc w:val="left"/>
      <w:pPr>
        <w:ind w:left="1404" w:hanging="360"/>
      </w:pPr>
    </w:lvl>
    <w:lvl w:ilvl="1" w:tplc="04090019">
      <w:start w:val="1"/>
      <w:numFmt w:val="lowerLetter"/>
      <w:lvlText w:val="%2."/>
      <w:lvlJc w:val="left"/>
      <w:pPr>
        <w:ind w:left="2124" w:hanging="360"/>
      </w:pPr>
    </w:lvl>
    <w:lvl w:ilvl="2" w:tplc="0409001B">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19" w15:restartNumberingAfterBreak="0">
    <w:nsid w:val="5FC25CFE"/>
    <w:multiLevelType w:val="hybridMultilevel"/>
    <w:tmpl w:val="C48EFBC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B73CD7"/>
    <w:multiLevelType w:val="hybridMultilevel"/>
    <w:tmpl w:val="1F2094E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D276C6"/>
    <w:multiLevelType w:val="hybridMultilevel"/>
    <w:tmpl w:val="CD64FFE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6C1470"/>
    <w:multiLevelType w:val="hybridMultilevel"/>
    <w:tmpl w:val="18A4CF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4823A0"/>
    <w:multiLevelType w:val="hybridMultilevel"/>
    <w:tmpl w:val="BB0AE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250515"/>
    <w:multiLevelType w:val="hybridMultilevel"/>
    <w:tmpl w:val="3048A1D4"/>
    <w:lvl w:ilvl="0" w:tplc="04090017">
      <w:start w:val="1"/>
      <w:numFmt w:val="lowerLetter"/>
      <w:lvlText w:val="%1)"/>
      <w:lvlJc w:val="left"/>
      <w:pPr>
        <w:ind w:left="1350" w:hanging="360"/>
      </w:pPr>
    </w:lvl>
    <w:lvl w:ilvl="1" w:tplc="0409001B">
      <w:start w:val="1"/>
      <w:numFmt w:val="lowerRoman"/>
      <w:lvlText w:val="%2."/>
      <w:lvlJc w:val="righ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7E66680A"/>
    <w:multiLevelType w:val="multilevel"/>
    <w:tmpl w:val="13A86D28"/>
    <w:lvl w:ilvl="0">
      <w:start w:val="7"/>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cs="Times New Roman" w:hint="default"/>
        <w:b/>
        <w:bCs/>
        <w:w w:val="100"/>
        <w:sz w:val="22"/>
        <w:szCs w:val="22"/>
      </w:rPr>
    </w:lvl>
    <w:lvl w:ilvl="2">
      <w:numFmt w:val="bullet"/>
      <w:lvlText w:val="•"/>
      <w:lvlJc w:val="left"/>
      <w:pPr>
        <w:ind w:left="1996" w:hanging="720"/>
      </w:pPr>
      <w:rPr>
        <w:rFonts w:hint="default"/>
      </w:rPr>
    </w:lvl>
    <w:lvl w:ilvl="3">
      <w:numFmt w:val="bullet"/>
      <w:lvlText w:val="•"/>
      <w:lvlJc w:val="left"/>
      <w:pPr>
        <w:ind w:left="2944" w:hanging="720"/>
      </w:pPr>
      <w:rPr>
        <w:rFonts w:hint="default"/>
      </w:rPr>
    </w:lvl>
    <w:lvl w:ilvl="4">
      <w:numFmt w:val="bullet"/>
      <w:lvlText w:val="•"/>
      <w:lvlJc w:val="left"/>
      <w:pPr>
        <w:ind w:left="3892" w:hanging="720"/>
      </w:pPr>
      <w:rPr>
        <w:rFonts w:hint="default"/>
      </w:rPr>
    </w:lvl>
    <w:lvl w:ilvl="5">
      <w:numFmt w:val="bullet"/>
      <w:lvlText w:val="•"/>
      <w:lvlJc w:val="left"/>
      <w:pPr>
        <w:ind w:left="4840" w:hanging="720"/>
      </w:pPr>
      <w:rPr>
        <w:rFonts w:hint="default"/>
      </w:rPr>
    </w:lvl>
    <w:lvl w:ilvl="6">
      <w:numFmt w:val="bullet"/>
      <w:lvlText w:val="•"/>
      <w:lvlJc w:val="left"/>
      <w:pPr>
        <w:ind w:left="5788" w:hanging="720"/>
      </w:pPr>
      <w:rPr>
        <w:rFonts w:hint="default"/>
      </w:rPr>
    </w:lvl>
    <w:lvl w:ilvl="7">
      <w:numFmt w:val="bullet"/>
      <w:lvlText w:val="•"/>
      <w:lvlJc w:val="left"/>
      <w:pPr>
        <w:ind w:left="6736" w:hanging="720"/>
      </w:pPr>
      <w:rPr>
        <w:rFonts w:hint="default"/>
      </w:rPr>
    </w:lvl>
    <w:lvl w:ilvl="8">
      <w:numFmt w:val="bullet"/>
      <w:lvlText w:val="•"/>
      <w:lvlJc w:val="left"/>
      <w:pPr>
        <w:ind w:left="7684" w:hanging="720"/>
      </w:pPr>
      <w:rPr>
        <w:rFonts w:hint="default"/>
      </w:rPr>
    </w:lvl>
  </w:abstractNum>
  <w:abstractNum w:abstractNumId="26" w15:restartNumberingAfterBreak="0">
    <w:nsid w:val="7EA96417"/>
    <w:multiLevelType w:val="hybridMultilevel"/>
    <w:tmpl w:val="C4BE4408"/>
    <w:lvl w:ilvl="0" w:tplc="04090017">
      <w:start w:val="1"/>
      <w:numFmt w:val="lowerLetter"/>
      <w:lvlText w:val="%1)"/>
      <w:lvlJc w:val="left"/>
      <w:pPr>
        <w:tabs>
          <w:tab w:val="num" w:pos="918"/>
        </w:tabs>
        <w:ind w:left="918" w:hanging="360"/>
      </w:pPr>
      <w:rPr>
        <w:rFonts w:hint="default"/>
      </w:rPr>
    </w:lvl>
    <w:lvl w:ilvl="1" w:tplc="04090019">
      <w:start w:val="1"/>
      <w:numFmt w:val="lowerLetter"/>
      <w:lvlText w:val="%2."/>
      <w:lvlJc w:val="left"/>
      <w:pPr>
        <w:tabs>
          <w:tab w:val="num" w:pos="1548"/>
        </w:tabs>
        <w:ind w:left="1548" w:hanging="360"/>
      </w:pPr>
      <w:rPr>
        <w:rFonts w:hint="default"/>
      </w:rPr>
    </w:lvl>
    <w:lvl w:ilvl="2" w:tplc="04090005">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cs="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cs="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27" w15:restartNumberingAfterBreak="0">
    <w:nsid w:val="7F193F7F"/>
    <w:multiLevelType w:val="hybridMultilevel"/>
    <w:tmpl w:val="E2B27E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223158">
    <w:abstractNumId w:val="4"/>
  </w:num>
  <w:num w:numId="2" w16cid:durableId="174030666">
    <w:abstractNumId w:val="15"/>
  </w:num>
  <w:num w:numId="3" w16cid:durableId="2114783353">
    <w:abstractNumId w:val="17"/>
  </w:num>
  <w:num w:numId="4" w16cid:durableId="300235303">
    <w:abstractNumId w:val="23"/>
  </w:num>
  <w:num w:numId="5" w16cid:durableId="102237501">
    <w:abstractNumId w:val="7"/>
  </w:num>
  <w:num w:numId="6" w16cid:durableId="560866806">
    <w:abstractNumId w:val="9"/>
  </w:num>
  <w:num w:numId="7" w16cid:durableId="326713510">
    <w:abstractNumId w:val="14"/>
  </w:num>
  <w:num w:numId="8" w16cid:durableId="1028794306">
    <w:abstractNumId w:val="6"/>
  </w:num>
  <w:num w:numId="9" w16cid:durableId="1627543242">
    <w:abstractNumId w:val="12"/>
  </w:num>
  <w:num w:numId="10" w16cid:durableId="637414452">
    <w:abstractNumId w:val="22"/>
  </w:num>
  <w:num w:numId="11" w16cid:durableId="904417366">
    <w:abstractNumId w:val="27"/>
  </w:num>
  <w:num w:numId="12" w16cid:durableId="656567483">
    <w:abstractNumId w:val="25"/>
  </w:num>
  <w:num w:numId="13" w16cid:durableId="1989242205">
    <w:abstractNumId w:val="20"/>
  </w:num>
  <w:num w:numId="14" w16cid:durableId="1326201137">
    <w:abstractNumId w:val="26"/>
  </w:num>
  <w:num w:numId="15" w16cid:durableId="785273599">
    <w:abstractNumId w:val="13"/>
  </w:num>
  <w:num w:numId="16" w16cid:durableId="548345339">
    <w:abstractNumId w:val="8"/>
  </w:num>
  <w:num w:numId="17" w16cid:durableId="856315227">
    <w:abstractNumId w:val="2"/>
  </w:num>
  <w:num w:numId="18" w16cid:durableId="1238439652">
    <w:abstractNumId w:val="11"/>
  </w:num>
  <w:num w:numId="19" w16cid:durableId="954364252">
    <w:abstractNumId w:val="5"/>
  </w:num>
  <w:num w:numId="20" w16cid:durableId="712265707">
    <w:abstractNumId w:val="16"/>
  </w:num>
  <w:num w:numId="21" w16cid:durableId="1545286735">
    <w:abstractNumId w:val="18"/>
  </w:num>
  <w:num w:numId="22" w16cid:durableId="1985037446">
    <w:abstractNumId w:val="19"/>
  </w:num>
  <w:num w:numId="23" w16cid:durableId="59256827">
    <w:abstractNumId w:val="0"/>
  </w:num>
  <w:num w:numId="24" w16cid:durableId="346566497">
    <w:abstractNumId w:val="1"/>
  </w:num>
  <w:num w:numId="25" w16cid:durableId="988243498">
    <w:abstractNumId w:val="24"/>
  </w:num>
  <w:num w:numId="26" w16cid:durableId="209154187">
    <w:abstractNumId w:val="21"/>
  </w:num>
  <w:num w:numId="27" w16cid:durableId="1881551843">
    <w:abstractNumId w:val="10"/>
  </w:num>
  <w:num w:numId="28" w16cid:durableId="17773661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5Ai64bW81AUcjAji2n0JsuuPqIDPxuVLzNYtOWJjdBUiPcwPW/b4tCQLl8AmTIsGFq1FYfJe9ES7SYN/nxaHWQ==" w:salt="dwR0Fjz49q6Qkes8WxvjQ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E5A"/>
    <w:rsid w:val="000030A7"/>
    <w:rsid w:val="00024DE9"/>
    <w:rsid w:val="00043B38"/>
    <w:rsid w:val="000617D5"/>
    <w:rsid w:val="00063172"/>
    <w:rsid w:val="00073CC8"/>
    <w:rsid w:val="00095FC9"/>
    <w:rsid w:val="000B130B"/>
    <w:rsid w:val="000B2902"/>
    <w:rsid w:val="000C0692"/>
    <w:rsid w:val="000C31AE"/>
    <w:rsid w:val="000C6568"/>
    <w:rsid w:val="000D0830"/>
    <w:rsid w:val="000D584F"/>
    <w:rsid w:val="00101F1B"/>
    <w:rsid w:val="001200E2"/>
    <w:rsid w:val="00130A97"/>
    <w:rsid w:val="00145C43"/>
    <w:rsid w:val="00167B40"/>
    <w:rsid w:val="001812D9"/>
    <w:rsid w:val="00190B57"/>
    <w:rsid w:val="001931D2"/>
    <w:rsid w:val="001B05D3"/>
    <w:rsid w:val="001D43E3"/>
    <w:rsid w:val="001E070E"/>
    <w:rsid w:val="001E1FC6"/>
    <w:rsid w:val="001F4A33"/>
    <w:rsid w:val="001F7C6E"/>
    <w:rsid w:val="0021514D"/>
    <w:rsid w:val="00220B79"/>
    <w:rsid w:val="00234C76"/>
    <w:rsid w:val="00236B36"/>
    <w:rsid w:val="00272F11"/>
    <w:rsid w:val="002A167D"/>
    <w:rsid w:val="002C7734"/>
    <w:rsid w:val="002D1FE4"/>
    <w:rsid w:val="00326C3E"/>
    <w:rsid w:val="00340313"/>
    <w:rsid w:val="00381315"/>
    <w:rsid w:val="003F017B"/>
    <w:rsid w:val="0042412F"/>
    <w:rsid w:val="004430D4"/>
    <w:rsid w:val="00445715"/>
    <w:rsid w:val="00450C9F"/>
    <w:rsid w:val="004642AC"/>
    <w:rsid w:val="00464B3C"/>
    <w:rsid w:val="00465F48"/>
    <w:rsid w:val="004B7A42"/>
    <w:rsid w:val="004D348C"/>
    <w:rsid w:val="004F247D"/>
    <w:rsid w:val="005018A8"/>
    <w:rsid w:val="00512D2A"/>
    <w:rsid w:val="0055321E"/>
    <w:rsid w:val="005608A1"/>
    <w:rsid w:val="0056144E"/>
    <w:rsid w:val="005F0716"/>
    <w:rsid w:val="00617C6A"/>
    <w:rsid w:val="00634CBB"/>
    <w:rsid w:val="006364A9"/>
    <w:rsid w:val="006707D0"/>
    <w:rsid w:val="006713B7"/>
    <w:rsid w:val="00677CD6"/>
    <w:rsid w:val="006A723E"/>
    <w:rsid w:val="006C24FF"/>
    <w:rsid w:val="006E0A6F"/>
    <w:rsid w:val="00721771"/>
    <w:rsid w:val="007826DB"/>
    <w:rsid w:val="007A037D"/>
    <w:rsid w:val="007B3EE8"/>
    <w:rsid w:val="007D10BF"/>
    <w:rsid w:val="007D6C56"/>
    <w:rsid w:val="007F73CF"/>
    <w:rsid w:val="00851F56"/>
    <w:rsid w:val="0085262E"/>
    <w:rsid w:val="00860B8E"/>
    <w:rsid w:val="00877D5C"/>
    <w:rsid w:val="009044F5"/>
    <w:rsid w:val="009064E4"/>
    <w:rsid w:val="00926CF2"/>
    <w:rsid w:val="00936343"/>
    <w:rsid w:val="009372EC"/>
    <w:rsid w:val="00953E0D"/>
    <w:rsid w:val="009819E9"/>
    <w:rsid w:val="00991218"/>
    <w:rsid w:val="009A0819"/>
    <w:rsid w:val="009E1F2D"/>
    <w:rsid w:val="00A05B6C"/>
    <w:rsid w:val="00A06F53"/>
    <w:rsid w:val="00A07239"/>
    <w:rsid w:val="00A11573"/>
    <w:rsid w:val="00A1485E"/>
    <w:rsid w:val="00A53A72"/>
    <w:rsid w:val="00A638A7"/>
    <w:rsid w:val="00A65A92"/>
    <w:rsid w:val="00A87DE8"/>
    <w:rsid w:val="00A97760"/>
    <w:rsid w:val="00AD320A"/>
    <w:rsid w:val="00AE03B9"/>
    <w:rsid w:val="00B412D2"/>
    <w:rsid w:val="00B470A1"/>
    <w:rsid w:val="00B52066"/>
    <w:rsid w:val="00B61147"/>
    <w:rsid w:val="00B76ED8"/>
    <w:rsid w:val="00B865BB"/>
    <w:rsid w:val="00BA2EC9"/>
    <w:rsid w:val="00BA4DF6"/>
    <w:rsid w:val="00BC17DB"/>
    <w:rsid w:val="00BC5995"/>
    <w:rsid w:val="00BD103E"/>
    <w:rsid w:val="00BF2E98"/>
    <w:rsid w:val="00C1201A"/>
    <w:rsid w:val="00C17923"/>
    <w:rsid w:val="00C44E66"/>
    <w:rsid w:val="00C655F9"/>
    <w:rsid w:val="00CC0451"/>
    <w:rsid w:val="00CF0E5A"/>
    <w:rsid w:val="00D15B4A"/>
    <w:rsid w:val="00D5350E"/>
    <w:rsid w:val="00D81C5D"/>
    <w:rsid w:val="00D84DAE"/>
    <w:rsid w:val="00D927C7"/>
    <w:rsid w:val="00DA3028"/>
    <w:rsid w:val="00DA318D"/>
    <w:rsid w:val="00DA3202"/>
    <w:rsid w:val="00DB262B"/>
    <w:rsid w:val="00DC2E59"/>
    <w:rsid w:val="00DF32D5"/>
    <w:rsid w:val="00E04076"/>
    <w:rsid w:val="00E36F89"/>
    <w:rsid w:val="00E75FCA"/>
    <w:rsid w:val="00E9750B"/>
    <w:rsid w:val="00EA0973"/>
    <w:rsid w:val="00EB13A9"/>
    <w:rsid w:val="00EB4040"/>
    <w:rsid w:val="00EC3A4C"/>
    <w:rsid w:val="00EF2EEE"/>
    <w:rsid w:val="00F13387"/>
    <w:rsid w:val="00F16246"/>
    <w:rsid w:val="00F66424"/>
    <w:rsid w:val="00F877A1"/>
    <w:rsid w:val="00FA04BA"/>
    <w:rsid w:val="00FA2123"/>
    <w:rsid w:val="00FA227A"/>
    <w:rsid w:val="00FA562D"/>
    <w:rsid w:val="00FB7DB7"/>
    <w:rsid w:val="00FC7FF2"/>
    <w:rsid w:val="00FE2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C772B"/>
  <w15:chartTrackingRefBased/>
  <w15:docId w15:val="{4087A0FA-107C-4FDA-8C1D-062D24AC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E5A"/>
  </w:style>
  <w:style w:type="paragraph" w:styleId="Footer">
    <w:name w:val="footer"/>
    <w:basedOn w:val="Normal"/>
    <w:link w:val="FooterChar"/>
    <w:uiPriority w:val="99"/>
    <w:unhideWhenUsed/>
    <w:rsid w:val="00CF0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E5A"/>
  </w:style>
  <w:style w:type="table" w:styleId="TableGrid">
    <w:name w:val="Table Grid"/>
    <w:basedOn w:val="TableNormal"/>
    <w:uiPriority w:val="39"/>
    <w:rsid w:val="00E97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2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C7"/>
    <w:rPr>
      <w:rFonts w:ascii="Segoe UI" w:hAnsi="Segoe UI" w:cs="Segoe UI"/>
      <w:sz w:val="18"/>
      <w:szCs w:val="18"/>
    </w:rPr>
  </w:style>
  <w:style w:type="paragraph" w:styleId="ListParagraph">
    <w:name w:val="List Paragraph"/>
    <w:basedOn w:val="Normal"/>
    <w:uiPriority w:val="34"/>
    <w:qFormat/>
    <w:rsid w:val="00DA3202"/>
    <w:pPr>
      <w:ind w:left="720"/>
      <w:contextualSpacing/>
    </w:pPr>
  </w:style>
  <w:style w:type="character" w:styleId="CommentReference">
    <w:name w:val="annotation reference"/>
    <w:basedOn w:val="DefaultParagraphFont"/>
    <w:uiPriority w:val="99"/>
    <w:semiHidden/>
    <w:unhideWhenUsed/>
    <w:rsid w:val="00DA3202"/>
    <w:rPr>
      <w:sz w:val="16"/>
      <w:szCs w:val="16"/>
    </w:rPr>
  </w:style>
  <w:style w:type="paragraph" w:styleId="CommentText">
    <w:name w:val="annotation text"/>
    <w:basedOn w:val="Normal"/>
    <w:link w:val="CommentTextChar"/>
    <w:uiPriority w:val="99"/>
    <w:unhideWhenUsed/>
    <w:rsid w:val="00DA3202"/>
    <w:pPr>
      <w:spacing w:line="240" w:lineRule="auto"/>
    </w:pPr>
    <w:rPr>
      <w:sz w:val="20"/>
      <w:szCs w:val="20"/>
    </w:rPr>
  </w:style>
  <w:style w:type="character" w:customStyle="1" w:styleId="CommentTextChar">
    <w:name w:val="Comment Text Char"/>
    <w:basedOn w:val="DefaultParagraphFont"/>
    <w:link w:val="CommentText"/>
    <w:uiPriority w:val="99"/>
    <w:rsid w:val="00DA3202"/>
    <w:rPr>
      <w:sz w:val="20"/>
      <w:szCs w:val="20"/>
    </w:rPr>
  </w:style>
  <w:style w:type="paragraph" w:styleId="Title">
    <w:name w:val="Title"/>
    <w:basedOn w:val="Normal"/>
    <w:link w:val="TitleChar"/>
    <w:qFormat/>
    <w:rsid w:val="00F877A1"/>
    <w:pPr>
      <w:spacing w:after="0" w:line="240" w:lineRule="auto"/>
      <w:jc w:val="center"/>
    </w:pPr>
    <w:rPr>
      <w:rFonts w:ascii="Times New Roman" w:eastAsia="Times New Roman" w:hAnsi="Times New Roman" w:cs="Times New Roman"/>
      <w:sz w:val="48"/>
      <w:szCs w:val="24"/>
    </w:rPr>
  </w:style>
  <w:style w:type="character" w:customStyle="1" w:styleId="TitleChar">
    <w:name w:val="Title Char"/>
    <w:basedOn w:val="DefaultParagraphFont"/>
    <w:link w:val="Title"/>
    <w:rsid w:val="00F877A1"/>
    <w:rPr>
      <w:rFonts w:ascii="Times New Roman" w:eastAsia="Times New Roman" w:hAnsi="Times New Roman" w:cs="Times New Roman"/>
      <w:sz w:val="48"/>
      <w:szCs w:val="24"/>
    </w:rPr>
  </w:style>
  <w:style w:type="paragraph" w:styleId="CommentSubject">
    <w:name w:val="annotation subject"/>
    <w:basedOn w:val="CommentText"/>
    <w:next w:val="CommentText"/>
    <w:link w:val="CommentSubjectChar"/>
    <w:uiPriority w:val="99"/>
    <w:semiHidden/>
    <w:unhideWhenUsed/>
    <w:rsid w:val="00236B36"/>
    <w:rPr>
      <w:b/>
      <w:bCs/>
    </w:rPr>
  </w:style>
  <w:style w:type="character" w:customStyle="1" w:styleId="CommentSubjectChar">
    <w:name w:val="Comment Subject Char"/>
    <w:basedOn w:val="CommentTextChar"/>
    <w:link w:val="CommentSubject"/>
    <w:uiPriority w:val="99"/>
    <w:semiHidden/>
    <w:rsid w:val="00236B36"/>
    <w:rPr>
      <w:b/>
      <w:bCs/>
      <w:sz w:val="20"/>
      <w:szCs w:val="20"/>
    </w:rPr>
  </w:style>
  <w:style w:type="character" w:styleId="Hyperlink">
    <w:name w:val="Hyperlink"/>
    <w:basedOn w:val="DefaultParagraphFont"/>
    <w:uiPriority w:val="99"/>
    <w:unhideWhenUsed/>
    <w:rsid w:val="0042412F"/>
    <w:rPr>
      <w:color w:val="0563C1" w:themeColor="hyperlink"/>
      <w:u w:val="single"/>
    </w:rPr>
  </w:style>
  <w:style w:type="character" w:styleId="UnresolvedMention">
    <w:name w:val="Unresolved Mention"/>
    <w:basedOn w:val="DefaultParagraphFont"/>
    <w:uiPriority w:val="99"/>
    <w:semiHidden/>
    <w:unhideWhenUsed/>
    <w:rsid w:val="0042412F"/>
    <w:rPr>
      <w:color w:val="605E5C"/>
      <w:shd w:val="clear" w:color="auto" w:fill="E1DFDD"/>
    </w:rPr>
  </w:style>
  <w:style w:type="paragraph" w:styleId="BodyText">
    <w:name w:val="Body Text"/>
    <w:basedOn w:val="Normal"/>
    <w:link w:val="BodyTextChar"/>
    <w:uiPriority w:val="1"/>
    <w:qFormat/>
    <w:rsid w:val="00BA4DF6"/>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A4DF6"/>
    <w:rPr>
      <w:rFonts w:ascii="Times New Roman" w:eastAsia="Times New Roman" w:hAnsi="Times New Roman" w:cs="Times New Roman"/>
    </w:rPr>
  </w:style>
  <w:style w:type="paragraph" w:customStyle="1" w:styleId="TableParagraph">
    <w:name w:val="Table Paragraph"/>
    <w:basedOn w:val="Normal"/>
    <w:uiPriority w:val="1"/>
    <w:qFormat/>
    <w:rsid w:val="006C24F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dot.gov/programmanagement/implemented/specbook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dot.gov/design/standardpla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8</Pages>
  <Words>3236</Words>
  <Characters>18450</Characters>
  <Application>Microsoft Office Word</Application>
  <DocSecurity>8</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Falanga, Ron</dc:creator>
  <cp:keywords/>
  <dc:description/>
  <cp:lastModifiedBy>Falanga, Ron</cp:lastModifiedBy>
  <cp:revision>6</cp:revision>
  <cp:lastPrinted>2021-08-24T14:59:00Z</cp:lastPrinted>
  <dcterms:created xsi:type="dcterms:W3CDTF">2024-03-20T18:52:00Z</dcterms:created>
  <dcterms:modified xsi:type="dcterms:W3CDTF">2026-03-16T19:32:00Z</dcterms:modified>
</cp:coreProperties>
</file>