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22A65882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D11B7" w:rsidRPr="007D11B7">
        <w:rPr>
          <w:bCs/>
          <w:szCs w:val="24"/>
        </w:rPr>
        <w:t>FIRE STATION WIND MITIGATION CONSTRUCTION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7D11B7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D11B7">
        <w:rPr>
          <w:szCs w:val="24"/>
        </w:rPr>
        <w:t>07/</w:t>
      </w:r>
      <w:r w:rsidR="009B5C35">
        <w:rPr>
          <w:szCs w:val="24"/>
        </w:rPr>
        <w:t>1</w:t>
      </w:r>
      <w:r w:rsidR="00A84065">
        <w:rPr>
          <w:szCs w:val="24"/>
        </w:rPr>
        <w:t>8</w:t>
      </w:r>
      <w:r w:rsidR="00C3031B">
        <w:rPr>
          <w:szCs w:val="24"/>
        </w:rPr>
        <w:t>/202</w:t>
      </w:r>
      <w:r w:rsidR="007D11B7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06322FF6" w14:textId="77777777" w:rsidR="00FE3694" w:rsidRPr="00FE3694" w:rsidRDefault="00271D07" w:rsidP="00FE3694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  <w:r w:rsidRPr="00FE3694">
        <w:rPr>
          <w:b/>
          <w:bCs/>
        </w:rPr>
        <w:t>THIS ADDENDUM CHANGE</w:t>
      </w:r>
      <w:r w:rsidR="00FE3694" w:rsidRPr="00FE3694">
        <w:rPr>
          <w:b/>
          <w:bCs/>
        </w:rPr>
        <w:t>S</w:t>
      </w:r>
      <w:r w:rsidRPr="00FE3694">
        <w:rPr>
          <w:b/>
          <w:bCs/>
        </w:rPr>
        <w:t xml:space="preserve"> THE DATE FOR RECEIPT OF PROPOSALS</w:t>
      </w:r>
      <w:r w:rsidR="00FE3694" w:rsidRPr="00FE3694">
        <w:rPr>
          <w:b/>
          <w:bCs/>
        </w:rPr>
        <w:t xml:space="preserve"> TO</w:t>
      </w:r>
    </w:p>
    <w:p w14:paraId="652FDB4C" w14:textId="3ED76BB6" w:rsidR="00B60E88" w:rsidRDefault="00A84065" w:rsidP="00FE3694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  <w:r w:rsidRPr="00A84065">
        <w:rPr>
          <w:b/>
          <w:bCs/>
          <w:highlight w:val="yellow"/>
        </w:rPr>
        <w:t>AUGUST</w:t>
      </w:r>
      <w:r w:rsidR="00FE3694" w:rsidRPr="00A84065">
        <w:rPr>
          <w:b/>
          <w:bCs/>
          <w:highlight w:val="yellow"/>
        </w:rPr>
        <w:t xml:space="preserve"> </w:t>
      </w:r>
      <w:r w:rsidRPr="00A84065">
        <w:rPr>
          <w:b/>
          <w:bCs/>
          <w:highlight w:val="yellow"/>
        </w:rPr>
        <w:t>7</w:t>
      </w:r>
      <w:r w:rsidR="00FE3694" w:rsidRPr="00A84065">
        <w:rPr>
          <w:b/>
          <w:bCs/>
          <w:highlight w:val="yellow"/>
        </w:rPr>
        <w:t>, 2025 @ 3:00 PM (EST)</w:t>
      </w:r>
      <w:r w:rsidR="00271D07" w:rsidRPr="00A84065">
        <w:rPr>
          <w:b/>
          <w:bCs/>
          <w:highlight w:val="yellow"/>
        </w:rPr>
        <w:t>.</w:t>
      </w:r>
    </w:p>
    <w:p w14:paraId="251ED7DA" w14:textId="77777777" w:rsidR="00FE3694" w:rsidRPr="00FE3694" w:rsidRDefault="00FE3694" w:rsidP="00FE3694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59C888B" w14:textId="35A1C020" w:rsidR="007D11B7" w:rsidRPr="00335B9F" w:rsidRDefault="005C1244" w:rsidP="009B5C35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 xml:space="preserve">Provide a list of contractors that have requested </w:t>
      </w:r>
      <w:proofErr w:type="gramStart"/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>the confidential</w:t>
      </w:r>
      <w:proofErr w:type="gramEnd"/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plans.</w:t>
      </w:r>
    </w:p>
    <w:p w14:paraId="59B8463B" w14:textId="417CDF9C" w:rsidR="007D11B7" w:rsidRPr="007D11B7" w:rsidRDefault="00C334EF" w:rsidP="007D11B7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Betnr Construction Corp, GSB Construction &amp; Development, Harvest Construction, Next Dimension Construction, </w:t>
      </w:r>
      <w:r w:rsidR="004E6EA4">
        <w:rPr>
          <w:rFonts w:ascii="Times New Roman" w:hAnsi="Times New Roman"/>
          <w:color w:val="000000"/>
          <w:sz w:val="24"/>
          <w:szCs w:val="24"/>
        </w:rPr>
        <w:t>R.C. Stevens Construction Company, Ruby Builders Inc., Rybek Construction Inc., and Scorpio</w:t>
      </w:r>
    </w:p>
    <w:p w14:paraId="2365EB92" w14:textId="7903669F" w:rsidR="007D11B7" w:rsidRPr="00335B9F" w:rsidRDefault="005C1244" w:rsidP="009B5C35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 xml:space="preserve">The proposed plan does not indicate any skylights. Confirm all skylights are to be removed. </w:t>
      </w:r>
    </w:p>
    <w:p w14:paraId="60E95A1E" w14:textId="4568D9C1" w:rsidR="007D11B7" w:rsidRPr="007D11B7" w:rsidRDefault="007D11B7" w:rsidP="007D11B7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Response: </w:t>
      </w:r>
      <w:r w:rsidR="004E6EA4">
        <w:rPr>
          <w:rFonts w:ascii="Times New Roman" w:hAnsi="Times New Roman"/>
          <w:color w:val="000000"/>
          <w:sz w:val="24"/>
          <w:szCs w:val="24"/>
        </w:rPr>
        <w:t>See revised plans.</w:t>
      </w:r>
    </w:p>
    <w:p w14:paraId="5586196B" w14:textId="1FE29A0A" w:rsidR="007D11B7" w:rsidRPr="00335B9F" w:rsidRDefault="005C1244" w:rsidP="009B5C35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 xml:space="preserve">FS19, there is a notation for proposed windows, but proposed floor plan does not call out windows. Advise and provide </w:t>
      </w:r>
      <w:proofErr w:type="gramStart"/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>new</w:t>
      </w:r>
      <w:proofErr w:type="gramEnd"/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floor plan </w:t>
      </w:r>
      <w:proofErr w:type="gramStart"/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>of entire</w:t>
      </w:r>
      <w:proofErr w:type="gramEnd"/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space.</w:t>
      </w:r>
      <w:r w:rsidR="007D11B7" w:rsidRPr="00335B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BEA1B66" w14:textId="34339B2C" w:rsidR="007D11B7" w:rsidRPr="007D11B7" w:rsidRDefault="007D11B7" w:rsidP="007D11B7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Response: </w:t>
      </w:r>
      <w:r w:rsidR="004E6EA4">
        <w:rPr>
          <w:rFonts w:ascii="Times New Roman" w:hAnsi="Times New Roman"/>
          <w:color w:val="000000"/>
          <w:sz w:val="24"/>
          <w:szCs w:val="24"/>
        </w:rPr>
        <w:t>Windows are not needed</w:t>
      </w:r>
    </w:p>
    <w:p w14:paraId="2047EC96" w14:textId="2E4DF32A" w:rsidR="009B5C35" w:rsidRPr="00335B9F" w:rsidRDefault="005C1244" w:rsidP="004C6CAE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color w:val="000000"/>
          <w:sz w:val="24"/>
          <w:szCs w:val="24"/>
        </w:rPr>
        <w:t>FS11, FS19, FS111 – project description on sheet A000 states to remove and replace with a new standing seam metal roof. Sheet A202 states the new roof will be shingles. Confirm which roofing material is desired.</w:t>
      </w:r>
    </w:p>
    <w:p w14:paraId="2AB4B5AA" w14:textId="0712DF07" w:rsidR="009B5C35" w:rsidRDefault="007D11B7" w:rsidP="009B5C35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9B5C35">
        <w:rPr>
          <w:rFonts w:ascii="Times New Roman" w:hAnsi="Times New Roman"/>
          <w:color w:val="000000"/>
          <w:sz w:val="24"/>
          <w:szCs w:val="24"/>
        </w:rPr>
        <w:t xml:space="preserve">Response: </w:t>
      </w:r>
      <w:r w:rsidR="004E6EA4">
        <w:rPr>
          <w:rFonts w:ascii="Times New Roman" w:hAnsi="Times New Roman"/>
          <w:color w:val="000000"/>
          <w:sz w:val="24"/>
          <w:szCs w:val="24"/>
        </w:rPr>
        <w:t>Replace with shingles.</w:t>
      </w:r>
    </w:p>
    <w:p w14:paraId="67285682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Please clarify the extent of the roof deck sheathing to be removed. Without a defined quantity, we </w:t>
      </w:r>
      <w:proofErr w:type="gramStart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can</w:t>
      </w:r>
      <w:r w:rsidRPr="00335B9F">
        <w:rPr>
          <w:rFonts w:ascii="Times New Roman" w:hAnsi="Times New Roman"/>
          <w:b/>
          <w:bCs/>
          <w:sz w:val="24"/>
          <w:szCs w:val="24"/>
        </w:rPr>
        <w:t xml:space="preserve"> not</w:t>
      </w:r>
      <w:proofErr w:type="gramEnd"/>
      <w:r w:rsidRPr="00335B9F">
        <w:rPr>
          <w:rFonts w:ascii="Times New Roman" w:hAnsi="Times New Roman"/>
          <w:b/>
          <w:bCs/>
          <w:sz w:val="24"/>
          <w:szCs w:val="24"/>
        </w:rPr>
        <w:t xml:space="preserve"> provide an accurate price. Please identify the thickness of the certanteed synthetic underlayment.</w:t>
      </w:r>
    </w:p>
    <w:p w14:paraId="3519728C" w14:textId="653EFBC1" w:rsidR="004E6EA4" w:rsidRPr="004E6EA4" w:rsidRDefault="004E6EA4" w:rsidP="004E6EA4">
      <w:pPr>
        <w:tabs>
          <w:tab w:val="left" w:pos="900"/>
        </w:tabs>
        <w:spacing w:after="160"/>
        <w:ind w:left="720"/>
        <w:jc w:val="both"/>
        <w:rPr>
          <w:szCs w:val="24"/>
        </w:rPr>
      </w:pPr>
      <w:r>
        <w:rPr>
          <w:szCs w:val="24"/>
        </w:rPr>
        <w:t xml:space="preserve">Response: </w:t>
      </w:r>
      <w:r w:rsidRPr="004E6EA4">
        <w:rPr>
          <w:szCs w:val="24"/>
        </w:rPr>
        <w:t>Provide a per sheet cost to remove and repace if decking is found to be damaged. Underlauy ent would be minimum thickness to meet code and manufacturer's requirements</w:t>
      </w:r>
    </w:p>
    <w:p w14:paraId="37D70853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Based on response number 4 from the Addendum #1 / RFI responses, we are to utilize Cetainteed Shingles (or equal) for the new roof; </w:t>
      </w:r>
      <w:proofErr w:type="gramStart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however</w:t>
      </w:r>
      <w:proofErr w:type="gramEnd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the finish for the roof states painted or galvalume which would be a metal roof system.  Please advise.</w:t>
      </w:r>
    </w:p>
    <w:p w14:paraId="4F67270D" w14:textId="4D75CC86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Metal roof to match existing color</w:t>
      </w:r>
    </w:p>
    <w:p w14:paraId="435201D4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lastRenderedPageBreak/>
        <w:t>Based on the original submission and addendum drawings, we need to provide pricing for Fire Station 109; however, during our site walk on Monday 07/07/2025, we noticed that Fire Station 109 is being renovated which includes a new roofing system.  Please provide what scope is needed to be priced or can we omit this project entirely?</w:t>
      </w:r>
    </w:p>
    <w:p w14:paraId="3C1CEF44" w14:textId="3018B161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Omit roofing, soffit, opening pentetrations</w:t>
      </w:r>
    </w:p>
    <w:p w14:paraId="3D13E7F5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Have core samples been taken on any of the roof systems? If so, please provide reports. </w:t>
      </w:r>
    </w:p>
    <w:p w14:paraId="3FB67D31" w14:textId="033891A3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No. If </w:t>
      </w:r>
      <w:proofErr w:type="gramStart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contractor</w:t>
      </w:r>
      <w:proofErr w:type="gramEnd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wants to </w:t>
      </w:r>
      <w:proofErr w:type="gramStart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do</w:t>
      </w:r>
      <w:proofErr w:type="gramEnd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at their own </w:t>
      </w:r>
      <w:proofErr w:type="gramStart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cost</w:t>
      </w:r>
      <w:proofErr w:type="gramEnd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it can be arranged. Results will be shared with all bidders.</w:t>
      </w:r>
    </w:p>
    <w:p w14:paraId="56ED9CD0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Is funding available for </w:t>
      </w:r>
      <w:proofErr w:type="gramStart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all of</w:t>
      </w:r>
      <w:proofErr w:type="gramEnd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these projects?</w:t>
      </w:r>
    </w:p>
    <w:p w14:paraId="74A5B37F" w14:textId="4890518C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Response: Yes.</w:t>
      </w:r>
    </w:p>
    <w:p w14:paraId="13E40A79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Please provide manufacturer/model/</w:t>
      </w:r>
      <w:proofErr w:type="gramStart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size of</w:t>
      </w:r>
      <w:proofErr w:type="gramEnd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overhead door panels.</w:t>
      </w:r>
    </w:p>
    <w:p w14:paraId="2E7276D6" w14:textId="57DB46DC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Response: Cloplay 524</w:t>
      </w:r>
    </w:p>
    <w:p w14:paraId="7845B007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Will subcontractors be able to visit the sites without general contractor supervision?</w:t>
      </w:r>
    </w:p>
    <w:p w14:paraId="247EF6E7" w14:textId="3A86915F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Yes, but </w:t>
      </w: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contractor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is fully responsible.</w:t>
      </w:r>
    </w:p>
    <w:p w14:paraId="35D2C739" w14:textId="4F7114EB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Provide manufacturer/model for metal roof materials as depicted in contract documents</w:t>
      </w:r>
      <w:r w:rsid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.</w:t>
      </w:r>
    </w:p>
    <w:p w14:paraId="72319E3C" w14:textId="2BB760D7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Manufacturer not provided. Must meet code requirements and performance specs.</w:t>
      </w:r>
    </w:p>
    <w:p w14:paraId="74905D67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Please provide elevations and details for existing windows</w:t>
      </w:r>
    </w:p>
    <w:p w14:paraId="615C3120" w14:textId="2A68C00E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No additional documents to be provided. Recommend contractor visit site.</w:t>
      </w:r>
    </w:p>
    <w:p w14:paraId="28D58A71" w14:textId="77777777" w:rsidR="004E6EA4" w:rsidRPr="004E6EA4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The response from question #3 in the Addendum #1 &amp; RFI responses dated 7/9/25 states we are to replace the entire window and/or door system to make it impact rated.  Does this include the Sectional Roll-up Doors?  Please confirm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14:paraId="232CE785" w14:textId="6A4321FC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No, the one panel with the windows in the roll up doors will be replaced.  </w:t>
      </w:r>
    </w:p>
    <w:p w14:paraId="0CBAA453" w14:textId="77777777" w:rsidR="004E6EA4" w:rsidRPr="004E6EA4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The response from question #7 in the Addendum #1 &amp; RFI responses </w:t>
      </w:r>
      <w:proofErr w:type="gramStart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dated on</w:t>
      </w:r>
      <w:proofErr w:type="gramEnd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7/9/25 states that sealing around vents and louvers does not require a permit; however, if we are replacing all windows/doors and roofing work we will be filing for 19 separate permits.  Please confirm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14:paraId="6F3EB0CF" w14:textId="22E48B15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Permits are only required for work that building services require permitting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for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. Generally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this does not include </w:t>
      </w:r>
      <w:proofErr w:type="gramStart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repairs</w:t>
      </w:r>
      <w:proofErr w:type="gramEnd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but it is recommended that </w:t>
      </w:r>
      <w:proofErr w:type="gramStart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contractor</w:t>
      </w:r>
      <w:proofErr w:type="gramEnd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 contact building services. Yes, separate permitting.</w:t>
      </w:r>
    </w:p>
    <w:p w14:paraId="5311D8EE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On page A102, a man door is depicted; </w:t>
      </w:r>
      <w:proofErr w:type="gramStart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however</w:t>
      </w:r>
      <w:proofErr w:type="gramEnd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there is no notation to remove the existing door system.  Please confirm if we are to remove and replace.</w:t>
      </w:r>
    </w:p>
    <w:p w14:paraId="6EBBF34E" w14:textId="589F4EF0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 xml:space="preserve">If there is no glazing the door does not need </w:t>
      </w:r>
      <w:proofErr w:type="gramStart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replaced</w:t>
      </w:r>
      <w:proofErr w:type="gramEnd"/>
      <w:r w:rsidRPr="004E6EA4">
        <w:rPr>
          <w:rFonts w:ascii="Times New Roman" w:hAnsi="Times New Roman"/>
          <w:snapToGrid w:val="0"/>
          <w:color w:val="000000"/>
          <w:sz w:val="24"/>
          <w:szCs w:val="24"/>
        </w:rPr>
        <w:t>. Only doors with glazing are required to be replaced.</w:t>
      </w:r>
    </w:p>
    <w:p w14:paraId="3B71F72A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With Davis Bacon wages implemented and being federally funded, will BABA (Build America, By America Act) be implemented?</w:t>
      </w:r>
    </w:p>
    <w:p w14:paraId="1E23DB9B" w14:textId="754C6C2E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Response: </w:t>
      </w:r>
      <w:r w:rsidR="006A6CE9">
        <w:rPr>
          <w:rFonts w:ascii="Times New Roman" w:hAnsi="Times New Roman"/>
          <w:snapToGrid w:val="0"/>
          <w:color w:val="000000"/>
          <w:sz w:val="24"/>
          <w:szCs w:val="24"/>
        </w:rPr>
        <w:t xml:space="preserve">No. This is a FEMA Grant Program under the Hazard Mitigation Grant Program (HMGP) which is not subject to </w:t>
      </w:r>
      <w:proofErr w:type="gramStart"/>
      <w:r w:rsidR="006A6CE9">
        <w:rPr>
          <w:rFonts w:ascii="Times New Roman" w:hAnsi="Times New Roman"/>
          <w:snapToGrid w:val="0"/>
          <w:color w:val="000000"/>
          <w:sz w:val="24"/>
          <w:szCs w:val="24"/>
        </w:rPr>
        <w:t>the ”Buy</w:t>
      </w:r>
      <w:proofErr w:type="gramEnd"/>
      <w:r w:rsidR="006A6CE9">
        <w:rPr>
          <w:rFonts w:ascii="Times New Roman" w:hAnsi="Times New Roman"/>
          <w:snapToGrid w:val="0"/>
          <w:color w:val="000000"/>
          <w:sz w:val="24"/>
          <w:szCs w:val="24"/>
        </w:rPr>
        <w:t xml:space="preserve"> America” Preference.</w:t>
      </w:r>
    </w:p>
    <w:p w14:paraId="60AC7883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lastRenderedPageBreak/>
        <w:t>Please confirm what is the required gauge all impact rated man doors and frames</w:t>
      </w:r>
    </w:p>
    <w:p w14:paraId="53982410" w14:textId="247C883B" w:rsidR="004E6EA4" w:rsidRPr="004E6EA4" w:rsidRDefault="004E6EA4" w:rsidP="004E6EA4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Response: 18 gauge</w:t>
      </w:r>
    </w:p>
    <w:p w14:paraId="0EAC57ED" w14:textId="77777777" w:rsidR="004E6EA4" w:rsidRPr="00335B9F" w:rsidRDefault="004E6EA4" w:rsidP="004E6EA4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Are we </w:t>
      </w:r>
      <w:proofErr w:type="gramStart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to utilize</w:t>
      </w:r>
      <w:proofErr w:type="gramEnd"/>
      <w:r w:rsidRPr="00335B9F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the existing door hardware and place onto the new impact door?  If not, please provide Grade Level of Door Hardware (i.e., Grade 1 or 2).</w:t>
      </w:r>
    </w:p>
    <w:p w14:paraId="7354DC59" w14:textId="26F9673F" w:rsidR="007D11B7" w:rsidRPr="007D11B7" w:rsidRDefault="007D11B7" w:rsidP="007D11B7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Response:</w:t>
      </w:r>
      <w:r w:rsidRPr="007D11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EA4">
        <w:rPr>
          <w:rFonts w:ascii="Times New Roman" w:hAnsi="Times New Roman"/>
          <w:color w:val="000000"/>
          <w:sz w:val="24"/>
          <w:szCs w:val="24"/>
        </w:rPr>
        <w:t>Yes, Contractor to have new door to be prepped to match.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404B696A" w14:textId="77777777" w:rsidR="00BA6171" w:rsidRDefault="00BA6171" w:rsidP="008374C8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120"/>
        <w:rPr>
          <w:rFonts w:ascii="Times New Roman" w:hAnsi="Times New Roman"/>
          <w:sz w:val="24"/>
          <w:szCs w:val="24"/>
        </w:rPr>
      </w:pPr>
      <w:r w:rsidRPr="00A84065">
        <w:rPr>
          <w:rFonts w:ascii="Times New Roman" w:hAnsi="Times New Roman"/>
          <w:b/>
          <w:bCs/>
          <w:sz w:val="24"/>
          <w:szCs w:val="24"/>
        </w:rPr>
        <w:t>EXHIBIT Z – SAMPLE AGREEMENT</w:t>
      </w:r>
      <w:r>
        <w:rPr>
          <w:rFonts w:ascii="Times New Roman" w:hAnsi="Times New Roman"/>
          <w:sz w:val="24"/>
          <w:szCs w:val="24"/>
        </w:rPr>
        <w:t xml:space="preserve"> is now part of the Solicitation and must be reviewed in its entirety. </w:t>
      </w:r>
    </w:p>
    <w:p w14:paraId="21B2C097" w14:textId="21EB4D40" w:rsidR="00BA6171" w:rsidRDefault="00BA6171" w:rsidP="008374C8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Exhibit D – Federally Required Clauses has been replaced with </w:t>
      </w:r>
      <w:r w:rsidR="00B4557A" w:rsidRPr="00A84065">
        <w:rPr>
          <w:rFonts w:ascii="Times New Roman" w:hAnsi="Times New Roman"/>
          <w:b/>
          <w:bCs/>
          <w:sz w:val="24"/>
          <w:szCs w:val="24"/>
        </w:rPr>
        <w:t xml:space="preserve">EXHIBIT D – FEMA CONTRACT CLAUSES </w:t>
      </w:r>
      <w:r w:rsidRPr="00A84065">
        <w:rPr>
          <w:rFonts w:ascii="Times New Roman" w:hAnsi="Times New Roman"/>
          <w:b/>
          <w:bCs/>
          <w:sz w:val="24"/>
          <w:szCs w:val="24"/>
        </w:rPr>
        <w:t>v</w:t>
      </w:r>
      <w:r w:rsidR="00B4557A" w:rsidRPr="00A84065">
        <w:rPr>
          <w:rFonts w:ascii="Times New Roman" w:hAnsi="Times New Roman"/>
          <w:b/>
          <w:bCs/>
          <w:sz w:val="24"/>
          <w:szCs w:val="24"/>
        </w:rPr>
        <w:t>7</w:t>
      </w:r>
      <w:r w:rsidRPr="00A84065">
        <w:rPr>
          <w:rFonts w:ascii="Times New Roman" w:hAnsi="Times New Roman"/>
          <w:b/>
          <w:bCs/>
          <w:sz w:val="24"/>
          <w:szCs w:val="24"/>
        </w:rPr>
        <w:t>.2025.</w:t>
      </w:r>
    </w:p>
    <w:p w14:paraId="2D0820C4" w14:textId="22A4A74C" w:rsidR="008374C8" w:rsidRDefault="008374C8" w:rsidP="008374C8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120"/>
        <w:rPr>
          <w:rFonts w:ascii="Times New Roman" w:hAnsi="Times New Roman"/>
          <w:sz w:val="24"/>
          <w:szCs w:val="24"/>
        </w:rPr>
      </w:pPr>
      <w:r w:rsidRPr="008374C8">
        <w:rPr>
          <w:rFonts w:ascii="Times New Roman" w:hAnsi="Times New Roman"/>
          <w:sz w:val="24"/>
          <w:szCs w:val="24"/>
        </w:rPr>
        <w:t xml:space="preserve">Attachment 6 – Viewing Confidential Documents, has been updated to correct the submission email address to </w:t>
      </w:r>
      <w:hyperlink r:id="rId11" w:history="1">
        <w:r w:rsidRPr="008374C8">
          <w:rPr>
            <w:rStyle w:val="Hyperlink"/>
            <w:rFonts w:ascii="Times New Roman" w:hAnsi="Times New Roman"/>
            <w:sz w:val="24"/>
            <w:szCs w:val="24"/>
          </w:rPr>
          <w:t>Bill.Ponko@LakeCountyFL.gov</w:t>
        </w:r>
      </w:hyperlink>
      <w:r w:rsidRPr="008374C8">
        <w:rPr>
          <w:rFonts w:ascii="Times New Roman" w:hAnsi="Times New Roman"/>
          <w:sz w:val="24"/>
          <w:szCs w:val="24"/>
        </w:rPr>
        <w:t xml:space="preserve"> </w:t>
      </w:r>
    </w:p>
    <w:p w14:paraId="4E4153C6" w14:textId="2870BD33" w:rsidR="009C1305" w:rsidRDefault="009C1305" w:rsidP="008374C8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 10 is a duplicate of Attachment 8. Attachment 10 has been deleted and no longer required.</w:t>
      </w:r>
    </w:p>
    <w:p w14:paraId="746665FF" w14:textId="1DEF7CC9" w:rsidR="00D1630E" w:rsidRDefault="00FF0836" w:rsidP="008374C8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Scribner’s errors were corrected in Bid Document, Attachments 1 &amp; 7, and Exhibit A. The</w:t>
      </w:r>
      <w:r w:rsidR="00D1630E">
        <w:rPr>
          <w:rFonts w:ascii="Times New Roman" w:hAnsi="Times New Roman"/>
          <w:sz w:val="24"/>
          <w:szCs w:val="24"/>
        </w:rPr>
        <w:t xml:space="preserve">se corrections do not alter the intent or substance of the documents.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70F4C1" w14:textId="087B11CC" w:rsidR="008374C8" w:rsidRDefault="008374C8" w:rsidP="008374C8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Questions 1-9 were addressed in Addendum No.1</w:t>
      </w: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4DB845D3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>ADDENDUM NO.</w:t>
    </w:r>
    <w:r w:rsidR="009B5C35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7D11B7">
      <w:rPr>
        <w:b/>
        <w:bCs/>
      </w:rPr>
      <w:t>923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76EA7166"/>
    <w:lvl w:ilvl="0">
      <w:start w:val="10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C6942"/>
    <w:multiLevelType w:val="hybridMultilevel"/>
    <w:tmpl w:val="948E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  <w:num w:numId="10" w16cid:durableId="931284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+ZDGLGpOPKXkGGmQM6+Jlu7Wv5sIUr0gaRBAYMwFs6TTTAbwtWnCuuUh+dFmA9b4Bmy2m4x8qmXpnrjVjGuA==" w:salt="U+e+O0mbAkRn8CbKQRXVu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1480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0109"/>
    <w:rsid w:val="00224BFC"/>
    <w:rsid w:val="002315C6"/>
    <w:rsid w:val="002320AE"/>
    <w:rsid w:val="00241DF8"/>
    <w:rsid w:val="002460D7"/>
    <w:rsid w:val="002536F8"/>
    <w:rsid w:val="0025668B"/>
    <w:rsid w:val="002604B6"/>
    <w:rsid w:val="00271D07"/>
    <w:rsid w:val="002735DD"/>
    <w:rsid w:val="0027455F"/>
    <w:rsid w:val="002763BF"/>
    <w:rsid w:val="002815E8"/>
    <w:rsid w:val="002B2528"/>
    <w:rsid w:val="002C12CB"/>
    <w:rsid w:val="002D369E"/>
    <w:rsid w:val="002D4C1C"/>
    <w:rsid w:val="002E2E2C"/>
    <w:rsid w:val="002F2951"/>
    <w:rsid w:val="002F3B18"/>
    <w:rsid w:val="003016A9"/>
    <w:rsid w:val="00330218"/>
    <w:rsid w:val="00335B9F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35A37"/>
    <w:rsid w:val="00454DF3"/>
    <w:rsid w:val="004608E6"/>
    <w:rsid w:val="00464CAE"/>
    <w:rsid w:val="0048032D"/>
    <w:rsid w:val="004B0CC1"/>
    <w:rsid w:val="004B1918"/>
    <w:rsid w:val="004C3C70"/>
    <w:rsid w:val="004E3EE4"/>
    <w:rsid w:val="004E6EA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1244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61AE4"/>
    <w:rsid w:val="006725EC"/>
    <w:rsid w:val="0069382C"/>
    <w:rsid w:val="006A6CE9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D11B7"/>
    <w:rsid w:val="007F6F6F"/>
    <w:rsid w:val="0080285B"/>
    <w:rsid w:val="0080437C"/>
    <w:rsid w:val="00804ECA"/>
    <w:rsid w:val="00807860"/>
    <w:rsid w:val="00824FA4"/>
    <w:rsid w:val="00830EBE"/>
    <w:rsid w:val="00831988"/>
    <w:rsid w:val="00835391"/>
    <w:rsid w:val="008374C8"/>
    <w:rsid w:val="00837F13"/>
    <w:rsid w:val="008428B7"/>
    <w:rsid w:val="00845236"/>
    <w:rsid w:val="00855896"/>
    <w:rsid w:val="0087510B"/>
    <w:rsid w:val="008762A3"/>
    <w:rsid w:val="00884FB7"/>
    <w:rsid w:val="008A2C64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0CC6"/>
    <w:rsid w:val="00992C79"/>
    <w:rsid w:val="00997447"/>
    <w:rsid w:val="009A5699"/>
    <w:rsid w:val="009A68A8"/>
    <w:rsid w:val="009B5C35"/>
    <w:rsid w:val="009C1305"/>
    <w:rsid w:val="009D2D83"/>
    <w:rsid w:val="009D66F5"/>
    <w:rsid w:val="009E2A73"/>
    <w:rsid w:val="009E4371"/>
    <w:rsid w:val="009F6C19"/>
    <w:rsid w:val="00A07B66"/>
    <w:rsid w:val="00A2718B"/>
    <w:rsid w:val="00A27274"/>
    <w:rsid w:val="00A32AF0"/>
    <w:rsid w:val="00A34AFE"/>
    <w:rsid w:val="00A52D20"/>
    <w:rsid w:val="00A5510B"/>
    <w:rsid w:val="00A6185C"/>
    <w:rsid w:val="00A72F3F"/>
    <w:rsid w:val="00A83D73"/>
    <w:rsid w:val="00A84065"/>
    <w:rsid w:val="00A87373"/>
    <w:rsid w:val="00A93012"/>
    <w:rsid w:val="00AA0309"/>
    <w:rsid w:val="00AA2A5A"/>
    <w:rsid w:val="00AB3842"/>
    <w:rsid w:val="00AD4A23"/>
    <w:rsid w:val="00AE775B"/>
    <w:rsid w:val="00AE7A18"/>
    <w:rsid w:val="00B06370"/>
    <w:rsid w:val="00B07A7F"/>
    <w:rsid w:val="00B4557A"/>
    <w:rsid w:val="00B603F7"/>
    <w:rsid w:val="00B60E88"/>
    <w:rsid w:val="00B64F84"/>
    <w:rsid w:val="00B70B00"/>
    <w:rsid w:val="00B82A39"/>
    <w:rsid w:val="00B97D79"/>
    <w:rsid w:val="00BA544F"/>
    <w:rsid w:val="00BA6171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334EF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A2ECC"/>
    <w:rsid w:val="00CB1B38"/>
    <w:rsid w:val="00CC306A"/>
    <w:rsid w:val="00CC4FF2"/>
    <w:rsid w:val="00CD038E"/>
    <w:rsid w:val="00CE0010"/>
    <w:rsid w:val="00CF68E6"/>
    <w:rsid w:val="00D01ADF"/>
    <w:rsid w:val="00D1630E"/>
    <w:rsid w:val="00D20816"/>
    <w:rsid w:val="00D258A9"/>
    <w:rsid w:val="00D303DC"/>
    <w:rsid w:val="00D4336C"/>
    <w:rsid w:val="00D45481"/>
    <w:rsid w:val="00D454B6"/>
    <w:rsid w:val="00D65DC7"/>
    <w:rsid w:val="00D76591"/>
    <w:rsid w:val="00D91BA4"/>
    <w:rsid w:val="00DA4DE3"/>
    <w:rsid w:val="00DB5FF0"/>
    <w:rsid w:val="00DB7FA9"/>
    <w:rsid w:val="00DC1362"/>
    <w:rsid w:val="00DC3666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17263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E3694"/>
    <w:rsid w:val="00FE7A76"/>
    <w:rsid w:val="00FF083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3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l.Ponko@LakeCountyFL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F2951"/>
    <w:rsid w:val="00454DF3"/>
    <w:rsid w:val="0048083F"/>
    <w:rsid w:val="004E3EE4"/>
    <w:rsid w:val="005247F9"/>
    <w:rsid w:val="00661AE4"/>
    <w:rsid w:val="008F6B69"/>
    <w:rsid w:val="00925724"/>
    <w:rsid w:val="00AE775B"/>
    <w:rsid w:val="00D303DC"/>
    <w:rsid w:val="00D76591"/>
    <w:rsid w:val="00D91BA4"/>
    <w:rsid w:val="00DC3666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998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11</cp:revision>
  <cp:lastPrinted>2020-04-01T15:04:00Z</cp:lastPrinted>
  <dcterms:created xsi:type="dcterms:W3CDTF">2025-07-16T19:18:00Z</dcterms:created>
  <dcterms:modified xsi:type="dcterms:W3CDTF">2025-07-18T14:02:00Z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