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260A5355" w:rsidR="00EF5966" w:rsidRPr="00CD038E" w:rsidRDefault="00EA1F05" w:rsidP="00D258A9">
      <w:pPr>
        <w:tabs>
          <w:tab w:val="left" w:pos="7020"/>
        </w:tabs>
        <w:rPr>
          <w:szCs w:val="24"/>
        </w:rPr>
      </w:pPr>
      <w:r>
        <w:rPr>
          <w:b/>
          <w:szCs w:val="24"/>
        </w:rPr>
        <w:t xml:space="preserve">SOLICTATION: </w:t>
      </w:r>
      <w:r w:rsidR="00694D36">
        <w:rPr>
          <w:bCs/>
          <w:szCs w:val="24"/>
        </w:rPr>
        <w:t>Emergency Debris Removal Services</w:t>
      </w:r>
      <w:r w:rsidR="00525414" w:rsidRPr="00CD038E">
        <w:rPr>
          <w:szCs w:val="24"/>
        </w:rPr>
        <w:tab/>
      </w:r>
      <w:r w:rsidR="00C3031B">
        <w:rPr>
          <w:szCs w:val="24"/>
        </w:rPr>
        <w:tab/>
      </w:r>
      <w:r w:rsidR="00C3031B">
        <w:rPr>
          <w:szCs w:val="24"/>
        </w:rPr>
        <w:tab/>
      </w:r>
      <w:r>
        <w:rPr>
          <w:szCs w:val="24"/>
        </w:rPr>
        <w:tab/>
      </w:r>
      <w:r w:rsidR="00030742">
        <w:rPr>
          <w:szCs w:val="24"/>
        </w:rPr>
        <w:t>0</w:t>
      </w:r>
      <w:r w:rsidR="008A4122">
        <w:rPr>
          <w:szCs w:val="24"/>
        </w:rPr>
        <w:t>8</w:t>
      </w:r>
      <w:r w:rsidR="00030742">
        <w:rPr>
          <w:szCs w:val="24"/>
        </w:rPr>
        <w:t>/</w:t>
      </w:r>
      <w:r w:rsidR="008A4122">
        <w:rPr>
          <w:szCs w:val="24"/>
        </w:rPr>
        <w:t>1</w:t>
      </w:r>
      <w:r w:rsidR="007C22DD">
        <w:rPr>
          <w:szCs w:val="24"/>
        </w:rPr>
        <w:t>8</w:t>
      </w:r>
      <w:r w:rsidR="00C3031B">
        <w:rPr>
          <w:szCs w:val="24"/>
        </w:rPr>
        <w:t>/202</w:t>
      </w:r>
      <w:r w:rsidR="00694D36">
        <w:rPr>
          <w:szCs w:val="24"/>
        </w:rPr>
        <w:t>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 xml:space="preserve">from being considered for </w:t>
      </w:r>
      <w:proofErr w:type="gramStart"/>
      <w:r w:rsidRPr="00CD038E">
        <w:rPr>
          <w:szCs w:val="24"/>
        </w:rPr>
        <w:t>award</w:t>
      </w:r>
      <w:proofErr w:type="gramEnd"/>
      <w:r w:rsidRPr="00CD038E">
        <w:rPr>
          <w:szCs w:val="24"/>
        </w:rPr>
        <w:t>.</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33F2A2B4" w14:textId="5D6B46D8" w:rsidR="008A4122" w:rsidRPr="008A4122" w:rsidRDefault="00EA1F05" w:rsidP="008A4122">
      <w:pPr>
        <w:pStyle w:val="Default"/>
        <w:tabs>
          <w:tab w:val="left" w:pos="360"/>
        </w:tabs>
        <w:spacing w:after="240"/>
        <w:rPr>
          <w:b/>
          <w:bCs/>
          <w:u w:val="single"/>
        </w:rPr>
      </w:pPr>
      <w:r w:rsidRPr="00EA1F05">
        <w:rPr>
          <w:b/>
          <w:bCs/>
          <w:u w:val="single"/>
        </w:rPr>
        <w:t>QUESTIONS/RESPONSES</w:t>
      </w:r>
    </w:p>
    <w:p w14:paraId="73705DD4"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If multiple firms are considered qualified, how will the order of activation occur during an event? </w:t>
      </w:r>
    </w:p>
    <w:p w14:paraId="6869FFA1" w14:textId="7473766A" w:rsidR="00B238F1" w:rsidRDefault="008A4122" w:rsidP="00B238F1">
      <w:pPr>
        <w:pStyle w:val="Default"/>
        <w:tabs>
          <w:tab w:val="left" w:pos="360"/>
        </w:tabs>
        <w:spacing w:after="240"/>
        <w:ind w:left="720"/>
      </w:pPr>
      <w:r>
        <w:t>Firm proposals will be evaluated and awarded as primary, secondary, and tertiary.  Activation will occur in that order</w:t>
      </w:r>
    </w:p>
    <w:p w14:paraId="1FB37EC3" w14:textId="2707BD1D" w:rsidR="008A4122" w:rsidRPr="008A4122" w:rsidRDefault="008A4122" w:rsidP="008A4122">
      <w:pPr>
        <w:pStyle w:val="Default"/>
        <w:numPr>
          <w:ilvl w:val="0"/>
          <w:numId w:val="10"/>
        </w:numPr>
        <w:tabs>
          <w:tab w:val="left" w:pos="360"/>
        </w:tabs>
        <w:spacing w:after="240"/>
        <w:rPr>
          <w:b/>
          <w:bCs/>
        </w:rPr>
      </w:pPr>
      <w:r w:rsidRPr="008A4122">
        <w:rPr>
          <w:b/>
          <w:bCs/>
        </w:rPr>
        <w:t xml:space="preserve">Are there bid tabs available from the previous solicitation? If so, please share. </w:t>
      </w:r>
    </w:p>
    <w:p w14:paraId="3D219A8B" w14:textId="03E53C37" w:rsidR="008A4122" w:rsidRDefault="008A4122" w:rsidP="00B238F1">
      <w:pPr>
        <w:pStyle w:val="Default"/>
        <w:tabs>
          <w:tab w:val="left" w:pos="360"/>
        </w:tabs>
        <w:spacing w:after="240"/>
        <w:ind w:left="720"/>
      </w:pPr>
      <w:r>
        <w:t>See Addendum No.1.</w:t>
      </w:r>
    </w:p>
    <w:p w14:paraId="6A1C4785"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When was the last time the County had a contract activation for Debris Removal? How many CYs were removed? </w:t>
      </w:r>
    </w:p>
    <w:p w14:paraId="22D42517" w14:textId="29F684A2" w:rsidR="008A4122" w:rsidRDefault="008A4122" w:rsidP="00B238F1">
      <w:pPr>
        <w:pStyle w:val="Default"/>
        <w:tabs>
          <w:tab w:val="left" w:pos="360"/>
        </w:tabs>
        <w:spacing w:after="240"/>
        <w:ind w:left="720"/>
      </w:pPr>
      <w:r>
        <w:t>See Addendum No.1.</w:t>
      </w:r>
    </w:p>
    <w:p w14:paraId="6D4D2E4F" w14:textId="6DB8DB55" w:rsidR="008A4122" w:rsidRDefault="008A4122" w:rsidP="008A4122">
      <w:pPr>
        <w:pStyle w:val="Default"/>
        <w:numPr>
          <w:ilvl w:val="0"/>
          <w:numId w:val="10"/>
        </w:numPr>
        <w:tabs>
          <w:tab w:val="left" w:pos="360"/>
        </w:tabs>
        <w:spacing w:after="240"/>
      </w:pPr>
      <w:r w:rsidRPr="008A4122">
        <w:rPr>
          <w:b/>
          <w:bCs/>
        </w:rPr>
        <w:t>Has the County determined which landfill(s) can be used? If so, please provide locations</w:t>
      </w:r>
      <w:r>
        <w:t xml:space="preserve">. </w:t>
      </w:r>
    </w:p>
    <w:p w14:paraId="3081922D" w14:textId="4A427A00" w:rsidR="008A4122" w:rsidRDefault="008A4122" w:rsidP="00B238F1">
      <w:pPr>
        <w:pStyle w:val="Default"/>
        <w:tabs>
          <w:tab w:val="left" w:pos="360"/>
        </w:tabs>
        <w:spacing w:after="240"/>
        <w:ind w:left="720"/>
      </w:pPr>
      <w:r>
        <w:t>Disaster Debris Management Site (DDMS) is located at the Central Facility. The other sites are convenience centers that don’t typically operate as DDMS. Contractors are encouraged to find alternative DDMS sites.</w:t>
      </w:r>
    </w:p>
    <w:p w14:paraId="023FEB8B"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Has the County determined where possible DMS will be? If so, please provide locations. </w:t>
      </w:r>
    </w:p>
    <w:p w14:paraId="776C3962" w14:textId="77777777" w:rsidR="008A4122" w:rsidRDefault="008A4122" w:rsidP="008A4122">
      <w:pPr>
        <w:pStyle w:val="Default"/>
        <w:tabs>
          <w:tab w:val="left" w:pos="360"/>
        </w:tabs>
        <w:spacing w:after="240"/>
        <w:ind w:left="720"/>
      </w:pPr>
      <w:r>
        <w:t>Disaster Debris Management Site (DDMS) is located at the Central Facility. The other sites are convenience centers that don’t typically operate as DDMS. Contractors are encouraged to find alternative DDMS sites.</w:t>
      </w:r>
    </w:p>
    <w:p w14:paraId="3F1CFD36"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Will annual contract price increases based on Consumer Price Index (CPI) be allowed? </w:t>
      </w:r>
    </w:p>
    <w:p w14:paraId="099EE90F" w14:textId="77777777" w:rsidR="008A4122" w:rsidRDefault="008A4122" w:rsidP="008A4122">
      <w:pPr>
        <w:pStyle w:val="Default"/>
        <w:tabs>
          <w:tab w:val="left" w:pos="360"/>
        </w:tabs>
        <w:spacing w:after="240"/>
        <w:ind w:left="720"/>
      </w:pPr>
      <w:r>
        <w:t>See Exhibit C – Page 9, paragraph 2</w:t>
      </w:r>
    </w:p>
    <w:p w14:paraId="5E5FB040"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Will there be a public bid opening? And if so, can you please provide call in #, zoom/Webex link or similar for the responding bidders to be present? </w:t>
      </w:r>
    </w:p>
    <w:p w14:paraId="534FF722" w14:textId="77777777" w:rsidR="008A4122" w:rsidRDefault="008A4122" w:rsidP="008A4122">
      <w:pPr>
        <w:pStyle w:val="Default"/>
        <w:tabs>
          <w:tab w:val="left" w:pos="360"/>
        </w:tabs>
        <w:spacing w:after="240"/>
        <w:ind w:left="720"/>
      </w:pPr>
      <w:r>
        <w:lastRenderedPageBreak/>
        <w:t>See Section 8.8 of the solicitation documents</w:t>
      </w:r>
    </w:p>
    <w:p w14:paraId="574EE1FA"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How does the County want us to calculate the $ amount for the bid bond? Or will listing "5% of the full amount of bid" on the bid bond be acceptable?  </w:t>
      </w:r>
    </w:p>
    <w:p w14:paraId="39CC1D50" w14:textId="668D56FC" w:rsidR="008A4122" w:rsidRDefault="008A4122" w:rsidP="008A4122">
      <w:pPr>
        <w:pStyle w:val="Default"/>
        <w:tabs>
          <w:tab w:val="left" w:pos="360"/>
        </w:tabs>
        <w:spacing w:after="240"/>
        <w:ind w:left="720"/>
      </w:pPr>
      <w:r>
        <w:t>This solicitation does not require a bid bond</w:t>
      </w:r>
    </w:p>
    <w:p w14:paraId="20C84AFC"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Does the County have a monitoring firm contracted? If so, which monitoring firm? </w:t>
      </w:r>
    </w:p>
    <w:p w14:paraId="41FA3409" w14:textId="17EF842F" w:rsidR="008A4122" w:rsidRDefault="008A4122" w:rsidP="008A4122">
      <w:pPr>
        <w:pStyle w:val="Default"/>
        <w:tabs>
          <w:tab w:val="left" w:pos="360"/>
        </w:tabs>
        <w:spacing w:after="240"/>
        <w:ind w:left="720"/>
      </w:pPr>
      <w:r>
        <w:t>Debris Tech, LLC and Thompson Consulting Services, LLC are recommended for the award of the recent Debris Monitoring Services solicitation (25-911).</w:t>
      </w:r>
    </w:p>
    <w:p w14:paraId="5A52397C"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Are P&amp;P bonds required at award (as Exhibit G states) or upon an NTP if activated? </w:t>
      </w:r>
    </w:p>
    <w:p w14:paraId="2141E83E" w14:textId="77777777" w:rsidR="008A4122" w:rsidRDefault="008A4122" w:rsidP="008A4122">
      <w:pPr>
        <w:pStyle w:val="Default"/>
        <w:tabs>
          <w:tab w:val="left" w:pos="360"/>
        </w:tabs>
        <w:spacing w:after="240"/>
        <w:ind w:left="720"/>
      </w:pPr>
      <w:r>
        <w:t>Upon NTP activation</w:t>
      </w:r>
    </w:p>
    <w:p w14:paraId="7E57769C"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Please elaborate on what 'Descriptive Literature' the County is requesting under forms section 8.5.2. </w:t>
      </w:r>
    </w:p>
    <w:p w14:paraId="4C169D7C" w14:textId="77777777" w:rsidR="008A4122" w:rsidRDefault="008A4122" w:rsidP="008A4122">
      <w:pPr>
        <w:pStyle w:val="Default"/>
        <w:tabs>
          <w:tab w:val="left" w:pos="360"/>
        </w:tabs>
        <w:spacing w:after="240"/>
        <w:ind w:left="720"/>
      </w:pPr>
      <w:r>
        <w:t>Any literature that the vendor may add to their solicitation submittal for clarification or an explanation of services</w:t>
      </w:r>
    </w:p>
    <w:p w14:paraId="2A8524F8" w14:textId="5E96E3F7" w:rsidR="00D12DF3" w:rsidRDefault="00D12DF3" w:rsidP="008A4122">
      <w:pPr>
        <w:pStyle w:val="Default"/>
        <w:numPr>
          <w:ilvl w:val="0"/>
          <w:numId w:val="10"/>
        </w:numPr>
        <w:tabs>
          <w:tab w:val="left" w:pos="360"/>
        </w:tabs>
        <w:spacing w:after="240"/>
        <w:rPr>
          <w:b/>
          <w:bCs/>
        </w:rPr>
      </w:pPr>
      <w:r w:rsidRPr="00D12DF3">
        <w:rPr>
          <w:b/>
          <w:bCs/>
        </w:rPr>
        <w:t xml:space="preserve">Generally, the contractor is reimbursed for all landfill receipts at cost. </w:t>
      </w:r>
      <w:r>
        <w:rPr>
          <w:b/>
          <w:bCs/>
        </w:rPr>
        <w:t xml:space="preserve">Does the County </w:t>
      </w:r>
      <w:r w:rsidRPr="00D12DF3">
        <w:rPr>
          <w:b/>
          <w:bCs/>
        </w:rPr>
        <w:t xml:space="preserve">want </w:t>
      </w:r>
      <w:r>
        <w:rPr>
          <w:b/>
          <w:bCs/>
        </w:rPr>
        <w:t>the vendor(s) to</w:t>
      </w:r>
      <w:r w:rsidRPr="00D12DF3">
        <w:rPr>
          <w:b/>
          <w:bCs/>
        </w:rPr>
        <w:t xml:space="preserve"> includ</w:t>
      </w:r>
      <w:r>
        <w:rPr>
          <w:b/>
          <w:bCs/>
        </w:rPr>
        <w:t xml:space="preserve">e </w:t>
      </w:r>
      <w:r w:rsidRPr="00D12DF3">
        <w:rPr>
          <w:b/>
          <w:bCs/>
        </w:rPr>
        <w:t xml:space="preserve">tipping fees (landfill costs) or </w:t>
      </w:r>
      <w:r w:rsidRPr="00D12DF3">
        <w:rPr>
          <w:b/>
          <w:bCs/>
        </w:rPr>
        <w:t>make</w:t>
      </w:r>
      <w:r w:rsidRPr="00D12DF3">
        <w:rPr>
          <w:b/>
          <w:bCs/>
        </w:rPr>
        <w:t xml:space="preserve"> it a pass through which is industry standard</w:t>
      </w:r>
      <w:r>
        <w:rPr>
          <w:b/>
          <w:bCs/>
        </w:rPr>
        <w:t>?</w:t>
      </w:r>
    </w:p>
    <w:p w14:paraId="69B5BB5D" w14:textId="7E030FA8" w:rsidR="00D12DF3" w:rsidRPr="00D12DF3" w:rsidRDefault="00D12DF3" w:rsidP="00D12DF3">
      <w:pPr>
        <w:pStyle w:val="Default"/>
        <w:tabs>
          <w:tab w:val="left" w:pos="360"/>
        </w:tabs>
        <w:spacing w:after="240"/>
        <w:ind w:left="720"/>
      </w:pPr>
      <w:r w:rsidRPr="00D12DF3">
        <w:t>Final disposal that goes to a facility contracted with Lake County is paid by Lake County.  For example, C&amp;D.  Final disposal where the contractor provides options for disposal are pass throughs, with Lake County permission.  For example, mulch</w:t>
      </w:r>
      <w:r>
        <w:t>.</w:t>
      </w:r>
    </w:p>
    <w:p w14:paraId="31D779CD" w14:textId="08751CCC" w:rsidR="008A4122" w:rsidRPr="008A4122" w:rsidRDefault="008A4122" w:rsidP="008A4122">
      <w:pPr>
        <w:pStyle w:val="Default"/>
        <w:numPr>
          <w:ilvl w:val="0"/>
          <w:numId w:val="10"/>
        </w:numPr>
        <w:tabs>
          <w:tab w:val="left" w:pos="360"/>
        </w:tabs>
        <w:spacing w:after="240"/>
        <w:rPr>
          <w:b/>
          <w:bCs/>
        </w:rPr>
      </w:pPr>
      <w:r w:rsidRPr="008A4122">
        <w:rPr>
          <w:b/>
          <w:bCs/>
        </w:rPr>
        <w:t xml:space="preserve">Industry standard for reduction of C&amp;D is compaction. Will the County pay out the Reduction price item 214 for C&amp;D compaction? If not, will the County allow </w:t>
      </w:r>
      <w:r w:rsidR="00D12DF3" w:rsidRPr="008A4122">
        <w:rPr>
          <w:b/>
          <w:bCs/>
        </w:rPr>
        <w:t>responders</w:t>
      </w:r>
      <w:r w:rsidRPr="008A4122">
        <w:rPr>
          <w:b/>
          <w:bCs/>
        </w:rPr>
        <w:t xml:space="preserve"> to include pricing for C&amp;D Compaction? </w:t>
      </w:r>
    </w:p>
    <w:p w14:paraId="712A3461" w14:textId="77777777" w:rsidR="008A4122" w:rsidRDefault="008A4122" w:rsidP="008A4122">
      <w:pPr>
        <w:pStyle w:val="Default"/>
        <w:tabs>
          <w:tab w:val="left" w:pos="360"/>
        </w:tabs>
        <w:spacing w:after="240"/>
        <w:ind w:left="720"/>
      </w:pPr>
      <w:r>
        <w:t>Scope is designed to bring C&amp;D directly to Final Disposal Site.  However, if C&amp;D must be stored at a DDMS, wooden fence panels or similar types can be reduced through grinding and be included in 214.  C&amp;D that is stored at a DDMS that cannot be ground can be reduced through compaction at the leisure of the vendor.</w:t>
      </w:r>
    </w:p>
    <w:p w14:paraId="12B53E87" w14:textId="77777777" w:rsidR="008A4122" w:rsidRPr="008A4122" w:rsidRDefault="008A4122" w:rsidP="008A4122">
      <w:pPr>
        <w:pStyle w:val="Default"/>
        <w:numPr>
          <w:ilvl w:val="0"/>
          <w:numId w:val="10"/>
        </w:numPr>
        <w:tabs>
          <w:tab w:val="left" w:pos="360"/>
        </w:tabs>
        <w:spacing w:after="240"/>
        <w:rPr>
          <w:b/>
          <w:bCs/>
        </w:rPr>
      </w:pPr>
      <w:r w:rsidRPr="008A4122">
        <w:rPr>
          <w:b/>
          <w:bCs/>
        </w:rPr>
        <w:t xml:space="preserve">Will the County add a management of DDMS unit to the pricing sheet?  If not, will the County allow responders to include pricing for DDMS Management? </w:t>
      </w:r>
    </w:p>
    <w:p w14:paraId="61E2A599" w14:textId="4EF7C7B5" w:rsidR="008A4122" w:rsidRDefault="008A4122" w:rsidP="008A4122">
      <w:pPr>
        <w:pStyle w:val="Default"/>
        <w:tabs>
          <w:tab w:val="left" w:pos="360"/>
        </w:tabs>
        <w:spacing w:after="240"/>
        <w:ind w:left="720"/>
      </w:pPr>
      <w:r>
        <w:t>Management of the site is priced in section 237.</w:t>
      </w:r>
    </w:p>
    <w:p w14:paraId="496E7E67" w14:textId="77777777" w:rsidR="00F041CA" w:rsidRPr="00F041CA" w:rsidRDefault="008A4122" w:rsidP="008A4122">
      <w:pPr>
        <w:pStyle w:val="Default"/>
        <w:numPr>
          <w:ilvl w:val="0"/>
          <w:numId w:val="10"/>
        </w:numPr>
        <w:tabs>
          <w:tab w:val="left" w:pos="360"/>
        </w:tabs>
        <w:spacing w:after="240"/>
        <w:rPr>
          <w:b/>
          <w:bCs/>
        </w:rPr>
      </w:pPr>
      <w:r w:rsidRPr="00F041CA">
        <w:rPr>
          <w:b/>
          <w:bCs/>
        </w:rPr>
        <w:t xml:space="preserve">Sections 218 and 235 The formula used to calculate the daily rate from the hourly rate appears to return a negative value. Is this intentional, or should the formula be adjusted to yield a positive daily rate? </w:t>
      </w:r>
    </w:p>
    <w:p w14:paraId="6555F8FF" w14:textId="52CC154F" w:rsidR="00F041CA" w:rsidRDefault="00F041CA" w:rsidP="00F041CA">
      <w:pPr>
        <w:pStyle w:val="Default"/>
        <w:tabs>
          <w:tab w:val="left" w:pos="360"/>
        </w:tabs>
        <w:spacing w:after="240"/>
        <w:ind w:left="720"/>
      </w:pPr>
      <w:r>
        <w:t>This should not be a negative rate.</w:t>
      </w:r>
    </w:p>
    <w:p w14:paraId="77753B9A" w14:textId="77777777" w:rsidR="00F041CA" w:rsidRPr="00F041CA" w:rsidRDefault="008A4122" w:rsidP="008A4122">
      <w:pPr>
        <w:pStyle w:val="Default"/>
        <w:numPr>
          <w:ilvl w:val="0"/>
          <w:numId w:val="10"/>
        </w:numPr>
        <w:tabs>
          <w:tab w:val="left" w:pos="360"/>
        </w:tabs>
        <w:spacing w:after="240"/>
        <w:rPr>
          <w:b/>
          <w:bCs/>
        </w:rPr>
      </w:pPr>
      <w:r w:rsidRPr="00F041CA">
        <w:rPr>
          <w:b/>
          <w:bCs/>
        </w:rPr>
        <w:lastRenderedPageBreak/>
        <w:t xml:space="preserve">Sections 218 and 235 The formula used to calculate the daily rate from the hourly rate appears to </w:t>
      </w:r>
      <w:proofErr w:type="gramStart"/>
      <w:r w:rsidRPr="00F041CA">
        <w:rPr>
          <w:b/>
          <w:bCs/>
        </w:rPr>
        <w:t>return</w:t>
      </w:r>
      <w:proofErr w:type="gramEnd"/>
      <w:r w:rsidRPr="00F041CA">
        <w:rPr>
          <w:b/>
          <w:bCs/>
        </w:rPr>
        <w:t xml:space="preserve"> a negative value. Will these negative values be included in the total cost calculation, or are they placeholders? </w:t>
      </w:r>
    </w:p>
    <w:p w14:paraId="1909421F" w14:textId="77777777" w:rsidR="00F041CA" w:rsidRDefault="008A4122" w:rsidP="00F041CA">
      <w:pPr>
        <w:pStyle w:val="Default"/>
        <w:tabs>
          <w:tab w:val="left" w:pos="360"/>
        </w:tabs>
        <w:spacing w:after="240"/>
        <w:ind w:left="720"/>
      </w:pPr>
      <w:r>
        <w:t>This should not be a negative rate</w:t>
      </w:r>
      <w:r w:rsidR="00F041CA">
        <w:t>.</w:t>
      </w:r>
    </w:p>
    <w:p w14:paraId="443C1319" w14:textId="77777777" w:rsidR="00F041CA" w:rsidRDefault="008A4122" w:rsidP="008A4122">
      <w:pPr>
        <w:pStyle w:val="Default"/>
        <w:numPr>
          <w:ilvl w:val="0"/>
          <w:numId w:val="10"/>
        </w:numPr>
        <w:tabs>
          <w:tab w:val="left" w:pos="360"/>
        </w:tabs>
        <w:spacing w:after="240"/>
        <w:rPr>
          <w:b/>
          <w:bCs/>
        </w:rPr>
      </w:pPr>
      <w:r w:rsidRPr="00F041CA">
        <w:rPr>
          <w:b/>
          <w:bCs/>
        </w:rPr>
        <w:t xml:space="preserve">Lines 1–209 These lines do not contain formulas to calculate daily rates, and the daily rate remains at $0.00 after entering the hourly rate. Are we expected to manually enter the daily rate for these lines, or should they remain at $0.00? </w:t>
      </w:r>
    </w:p>
    <w:p w14:paraId="0C3B0623" w14:textId="4F672D27" w:rsidR="00F041CA" w:rsidRDefault="008A4122" w:rsidP="00F041CA">
      <w:pPr>
        <w:pStyle w:val="Default"/>
        <w:tabs>
          <w:tab w:val="left" w:pos="360"/>
        </w:tabs>
        <w:spacing w:after="240"/>
        <w:ind w:left="720"/>
        <w:rPr>
          <w:b/>
          <w:bCs/>
        </w:rPr>
      </w:pPr>
      <w:r>
        <w:t>There are no formulas used for these items, vendors shall provide their own hourly and daily rates.</w:t>
      </w:r>
    </w:p>
    <w:p w14:paraId="23EB907F" w14:textId="77777777" w:rsidR="00F041CA" w:rsidRPr="00F041CA" w:rsidRDefault="008A4122" w:rsidP="008A4122">
      <w:pPr>
        <w:pStyle w:val="Default"/>
        <w:numPr>
          <w:ilvl w:val="0"/>
          <w:numId w:val="10"/>
        </w:numPr>
        <w:tabs>
          <w:tab w:val="left" w:pos="360"/>
        </w:tabs>
        <w:spacing w:after="240"/>
        <w:rPr>
          <w:b/>
          <w:bCs/>
        </w:rPr>
      </w:pPr>
      <w:r w:rsidRPr="00F041CA">
        <w:rPr>
          <w:b/>
          <w:bCs/>
        </w:rPr>
        <w:t xml:space="preserve">Lines 1–209 These lines do not contain formulas to calculate daily rates, and the daily rate remains at $0.00 after entering the hourly rate. Will the total cost calculation pull from these daily rate fields, or only from the hourly rate? </w:t>
      </w:r>
    </w:p>
    <w:p w14:paraId="7EA5C79B" w14:textId="38E77E78" w:rsidR="00F041CA" w:rsidRDefault="008A4122" w:rsidP="00F041CA">
      <w:pPr>
        <w:pStyle w:val="Default"/>
        <w:tabs>
          <w:tab w:val="left" w:pos="360"/>
        </w:tabs>
        <w:spacing w:after="240"/>
        <w:ind w:left="720"/>
        <w:rPr>
          <w:b/>
          <w:bCs/>
        </w:rPr>
      </w:pPr>
      <w:r>
        <w:t>There are no formulas used for these items, vendors shall provide their own hourly and daily rates.</w:t>
      </w: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43F40788" w14:textId="6F56B331" w:rsidR="002E385A" w:rsidRPr="00EA1F05" w:rsidRDefault="00F041CA" w:rsidP="002E385A">
      <w:pPr>
        <w:pBdr>
          <w:bottom w:val="single" w:sz="6" w:space="1" w:color="auto"/>
        </w:pBdr>
        <w:spacing w:after="120"/>
      </w:pPr>
      <w:r>
        <w:t xml:space="preserve">Attachment 2 – Pricing Sheet has been updated to correct several cells </w:t>
      </w:r>
      <w:r w:rsidR="000308A2">
        <w:t>for editing.</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9C268" w14:textId="77777777" w:rsidR="005A3802" w:rsidRDefault="005A3802">
      <w:r>
        <w:separator/>
      </w:r>
    </w:p>
  </w:endnote>
  <w:endnote w:type="continuationSeparator" w:id="0">
    <w:p w14:paraId="19133067" w14:textId="77777777" w:rsidR="005A3802" w:rsidRDefault="005A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DA6B" w14:textId="77777777" w:rsidR="005A3802" w:rsidRDefault="005A3802">
      <w:r>
        <w:separator/>
      </w:r>
    </w:p>
  </w:footnote>
  <w:footnote w:type="continuationSeparator" w:id="0">
    <w:p w14:paraId="73307F22" w14:textId="77777777" w:rsidR="005A3802" w:rsidRDefault="005A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70F2DA2D" w:rsidR="0069382C" w:rsidRPr="00EA1F05" w:rsidRDefault="0069382C" w:rsidP="0069382C">
    <w:pPr>
      <w:pStyle w:val="Header"/>
      <w:tabs>
        <w:tab w:val="clear" w:pos="8640"/>
        <w:tab w:val="right" w:pos="9900"/>
      </w:tabs>
      <w:rPr>
        <w:b/>
        <w:bCs/>
      </w:rPr>
    </w:pPr>
    <w:r w:rsidRPr="00EA1F05">
      <w:rPr>
        <w:b/>
        <w:bCs/>
      </w:rPr>
      <w:t xml:space="preserve">ADDENDUM NO. </w:t>
    </w:r>
    <w:r w:rsidR="008A4122">
      <w:rPr>
        <w:b/>
        <w:bCs/>
      </w:rPr>
      <w:t>2</w:t>
    </w:r>
    <w:r w:rsidRPr="00EA1F05">
      <w:rPr>
        <w:b/>
        <w:bCs/>
      </w:rPr>
      <w:tab/>
    </w:r>
    <w:r w:rsidRPr="00EA1F05">
      <w:rPr>
        <w:b/>
        <w:bCs/>
      </w:rPr>
      <w:tab/>
    </w:r>
    <w:r w:rsidR="00EA1F05" w:rsidRPr="00EA1F05">
      <w:rPr>
        <w:b/>
        <w:bCs/>
      </w:rPr>
      <w:t>2</w:t>
    </w:r>
    <w:r w:rsidR="00DA4DE3">
      <w:rPr>
        <w:b/>
        <w:bCs/>
      </w:rPr>
      <w:t>5</w:t>
    </w:r>
    <w:r w:rsidR="00EA1F05" w:rsidRPr="00EA1F05">
      <w:rPr>
        <w:b/>
        <w:bCs/>
      </w:rPr>
      <w:t>-</w:t>
    </w:r>
    <w:r w:rsidR="00694D36">
      <w:rPr>
        <w:b/>
        <w:bCs/>
      </w:rPr>
      <w:t>918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01B55"/>
    <w:multiLevelType w:val="multilevel"/>
    <w:tmpl w:val="69C87E72"/>
    <w:lvl w:ilvl="0">
      <w:start w:val="1"/>
      <w:numFmt w:val="decimal"/>
      <w:lvlText w:val="Q%1."/>
      <w:lvlJc w:val="left"/>
      <w:pPr>
        <w:ind w:left="720" w:hanging="360"/>
      </w:pPr>
      <w:rPr>
        <w:rFonts w:hint="default"/>
      </w:rPr>
    </w:lvl>
    <w:lvl w:ilvl="1">
      <w:start w:val="1"/>
      <w:numFmt w:val="decimal"/>
      <w:lvlText w:val="Q%2."/>
      <w:lvlJc w:val="left"/>
      <w:pPr>
        <w:ind w:left="1440" w:hanging="360"/>
      </w:pPr>
      <w:rPr>
        <w:rFonts w:ascii="Times New Roman" w:hAnsi="Times New Roman" w:cs="Times New Roman" w:hint="default"/>
        <w:b/>
        <w:bCs/>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8" w15:restartNumberingAfterBreak="0">
    <w:nsid w:val="7A3816C4"/>
    <w:multiLevelType w:val="hybridMultilevel"/>
    <w:tmpl w:val="F776F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7"/>
  </w:num>
  <w:num w:numId="3" w16cid:durableId="1569223518">
    <w:abstractNumId w:val="6"/>
  </w:num>
  <w:num w:numId="4" w16cid:durableId="584000639">
    <w:abstractNumId w:val="9"/>
  </w:num>
  <w:num w:numId="5" w16cid:durableId="489567764">
    <w:abstractNumId w:val="1"/>
  </w:num>
  <w:num w:numId="6" w16cid:durableId="445973893">
    <w:abstractNumId w:val="4"/>
  </w:num>
  <w:num w:numId="7" w16cid:durableId="1036589449">
    <w:abstractNumId w:val="3"/>
  </w:num>
  <w:num w:numId="8" w16cid:durableId="767965953">
    <w:abstractNumId w:val="5"/>
  </w:num>
  <w:num w:numId="9" w16cid:durableId="1435591811">
    <w:abstractNumId w:val="2"/>
  </w:num>
  <w:num w:numId="10" w16cid:durableId="1265380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sfAsopTC+W4VLFXryBVT1kxOHLfSWYkA2cX0WzJmXq8SWH09qGGvjcVl5FVgl4mChBJ/hIkWWWJIwkKjmROcA==" w:salt="erVJZ9mVzmduEWizn/9aN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0742"/>
    <w:rsid w:val="000308A2"/>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A7A81"/>
    <w:rsid w:val="000D04A1"/>
    <w:rsid w:val="000F43B5"/>
    <w:rsid w:val="00103943"/>
    <w:rsid w:val="00104C45"/>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E385A"/>
    <w:rsid w:val="002F3B18"/>
    <w:rsid w:val="003016A9"/>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15B29"/>
    <w:rsid w:val="00426BCD"/>
    <w:rsid w:val="004608E6"/>
    <w:rsid w:val="00464CAE"/>
    <w:rsid w:val="00465A26"/>
    <w:rsid w:val="0048032D"/>
    <w:rsid w:val="004B1918"/>
    <w:rsid w:val="004B5934"/>
    <w:rsid w:val="004C3C70"/>
    <w:rsid w:val="004E222C"/>
    <w:rsid w:val="004E3EE4"/>
    <w:rsid w:val="0050375E"/>
    <w:rsid w:val="005055D3"/>
    <w:rsid w:val="00517FFC"/>
    <w:rsid w:val="00523D30"/>
    <w:rsid w:val="00525414"/>
    <w:rsid w:val="00525FD8"/>
    <w:rsid w:val="0052661D"/>
    <w:rsid w:val="0057065C"/>
    <w:rsid w:val="005707DB"/>
    <w:rsid w:val="005A3802"/>
    <w:rsid w:val="005B37C1"/>
    <w:rsid w:val="005C43BF"/>
    <w:rsid w:val="005D3CB7"/>
    <w:rsid w:val="00603ED8"/>
    <w:rsid w:val="00605C06"/>
    <w:rsid w:val="0061414A"/>
    <w:rsid w:val="0064276A"/>
    <w:rsid w:val="00653049"/>
    <w:rsid w:val="006564E6"/>
    <w:rsid w:val="00660CA2"/>
    <w:rsid w:val="006725EC"/>
    <w:rsid w:val="00684F21"/>
    <w:rsid w:val="0069382C"/>
    <w:rsid w:val="00694D36"/>
    <w:rsid w:val="006D1C17"/>
    <w:rsid w:val="006D738E"/>
    <w:rsid w:val="006D745E"/>
    <w:rsid w:val="00700EB4"/>
    <w:rsid w:val="00706554"/>
    <w:rsid w:val="00707723"/>
    <w:rsid w:val="00710E05"/>
    <w:rsid w:val="007124B6"/>
    <w:rsid w:val="00714301"/>
    <w:rsid w:val="007368C3"/>
    <w:rsid w:val="007775B3"/>
    <w:rsid w:val="00783163"/>
    <w:rsid w:val="00785DA3"/>
    <w:rsid w:val="007A5299"/>
    <w:rsid w:val="007C22DD"/>
    <w:rsid w:val="007F6F6F"/>
    <w:rsid w:val="0080285B"/>
    <w:rsid w:val="0080437C"/>
    <w:rsid w:val="00804ECA"/>
    <w:rsid w:val="00807860"/>
    <w:rsid w:val="00830EBE"/>
    <w:rsid w:val="00831988"/>
    <w:rsid w:val="00837F13"/>
    <w:rsid w:val="008428B7"/>
    <w:rsid w:val="00845236"/>
    <w:rsid w:val="00855896"/>
    <w:rsid w:val="0087510B"/>
    <w:rsid w:val="008762A3"/>
    <w:rsid w:val="00884FB7"/>
    <w:rsid w:val="00897A15"/>
    <w:rsid w:val="008A4122"/>
    <w:rsid w:val="008B5A62"/>
    <w:rsid w:val="008C2F2A"/>
    <w:rsid w:val="008E18D1"/>
    <w:rsid w:val="008E271C"/>
    <w:rsid w:val="008E5F15"/>
    <w:rsid w:val="008F3A92"/>
    <w:rsid w:val="00910378"/>
    <w:rsid w:val="00910642"/>
    <w:rsid w:val="0091352D"/>
    <w:rsid w:val="0091430A"/>
    <w:rsid w:val="009152CD"/>
    <w:rsid w:val="00920127"/>
    <w:rsid w:val="0092218D"/>
    <w:rsid w:val="00932678"/>
    <w:rsid w:val="00933424"/>
    <w:rsid w:val="00954EAB"/>
    <w:rsid w:val="00984E95"/>
    <w:rsid w:val="00992C79"/>
    <w:rsid w:val="00997447"/>
    <w:rsid w:val="009A5699"/>
    <w:rsid w:val="009A68A8"/>
    <w:rsid w:val="009B06EB"/>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7A18"/>
    <w:rsid w:val="00B06370"/>
    <w:rsid w:val="00B07A7F"/>
    <w:rsid w:val="00B238F1"/>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1062C"/>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12DF3"/>
    <w:rsid w:val="00D12F40"/>
    <w:rsid w:val="00D20816"/>
    <w:rsid w:val="00D258A9"/>
    <w:rsid w:val="00D4336C"/>
    <w:rsid w:val="00D454B6"/>
    <w:rsid w:val="00DA4DE3"/>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41CA"/>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character" w:styleId="UnresolvedMention">
    <w:name w:val="Unresolved Mention"/>
    <w:basedOn w:val="DefaultParagraphFont"/>
    <w:uiPriority w:val="99"/>
    <w:semiHidden/>
    <w:unhideWhenUsed/>
    <w:rsid w:val="00465A26"/>
    <w:rPr>
      <w:color w:val="605E5C"/>
      <w:shd w:val="clear" w:color="auto" w:fill="E1DFDD"/>
    </w:rPr>
  </w:style>
  <w:style w:type="character" w:styleId="FollowedHyperlink">
    <w:name w:val="FollowedHyperlink"/>
    <w:basedOn w:val="DefaultParagraphFont"/>
    <w:rsid w:val="00465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48083F"/>
    <w:rsid w:val="004B5934"/>
    <w:rsid w:val="004E222C"/>
    <w:rsid w:val="004E3EE4"/>
    <w:rsid w:val="005247F9"/>
    <w:rsid w:val="00684F21"/>
    <w:rsid w:val="007775B3"/>
    <w:rsid w:val="008B45FD"/>
    <w:rsid w:val="008F6B69"/>
    <w:rsid w:val="00920127"/>
    <w:rsid w:val="00925724"/>
    <w:rsid w:val="009B06EB"/>
    <w:rsid w:val="00D1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953</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8</cp:revision>
  <cp:lastPrinted>2020-04-01T15:04:00Z</cp:lastPrinted>
  <dcterms:created xsi:type="dcterms:W3CDTF">2025-07-17T18:36:00Z</dcterms:created>
  <dcterms:modified xsi:type="dcterms:W3CDTF">2025-08-18T18:53:00Z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