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2D7C3E7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w:t>
      </w:r>
      <w:proofErr w:type="gramStart"/>
      <w:r w:rsidR="00D447C5" w:rsidRPr="00D57575">
        <w:rPr>
          <w:rFonts w:ascii="Times New Roman" w:hAnsi="Times New Roman" w:cs="Times New Roman"/>
          <w:w w:val="105"/>
        </w:rPr>
        <w:t xml:space="preserve">the </w:t>
      </w:r>
      <w:r w:rsidR="00FA0159" w:rsidRPr="00D57575">
        <w:rPr>
          <w:rFonts w:ascii="Times New Roman" w:hAnsi="Times New Roman" w:cs="Times New Roman"/>
          <w:w w:val="105"/>
        </w:rPr>
        <w:t>a</w:t>
      </w:r>
      <w:proofErr w:type="gramEnd"/>
      <w:r w:rsidR="00FA0159" w:rsidRPr="00D57575">
        <w:rPr>
          <w:rFonts w:ascii="Times New Roman" w:hAnsi="Times New Roman" w:cs="Times New Roman"/>
          <w:w w:val="105"/>
        </w:rPr>
        <w:t xml:space="preserve"> federal grant, including funding from </w:t>
      </w:r>
      <w:r w:rsidR="00D447C5" w:rsidRPr="00D57575">
        <w:rPr>
          <w:rFonts w:ascii="Times New Roman" w:hAnsi="Times New Roman" w:cs="Times New Roman"/>
          <w:w w:val="105"/>
        </w:rPr>
        <w:t>Federal Emergency Management Agency (FEMA</w:t>
      </w:r>
      <w:proofErr w:type="gramStart"/>
      <w:r w:rsidR="00D447C5" w:rsidRPr="00D57575">
        <w:rPr>
          <w:rFonts w:ascii="Times New Roman" w:hAnsi="Times New Roman" w:cs="Times New Roman"/>
          <w:w w:val="105"/>
        </w:rPr>
        <w:t>).</w:t>
      </w:r>
      <w:r w:rsidR="00AF21D3" w:rsidRPr="00D57575">
        <w:rPr>
          <w:rFonts w:ascii="Times New Roman" w:hAnsi="Times New Roman" w:cs="Times New Roman"/>
          <w:w w:val="105"/>
        </w:rPr>
        <w:t>.</w:t>
      </w:r>
      <w:proofErr w:type="gramEnd"/>
      <w:r w:rsidR="00DF50E4" w:rsidRPr="00D57575">
        <w:rPr>
          <w:rFonts w:ascii="Times New Roman" w:hAnsi="Times New Roman" w:cs="Times New Roman"/>
          <w:w w:val="105"/>
        </w:rPr>
        <w:t xml:space="preserve">  </w:t>
      </w:r>
      <w:proofErr w:type="gramStart"/>
      <w:r w:rsidR="00DF50E4" w:rsidRPr="00D57575">
        <w:rPr>
          <w:rFonts w:ascii="Times New Roman" w:hAnsi="Times New Roman" w:cs="Times New Roman"/>
          <w:w w:val="105"/>
        </w:rPr>
        <w:t>Contractor</w:t>
      </w:r>
      <w:proofErr w:type="gramEnd"/>
      <w:r w:rsidR="00DF50E4" w:rsidRPr="00D57575">
        <w:rPr>
          <w:rFonts w:ascii="Times New Roman" w:hAnsi="Times New Roman" w:cs="Times New Roman"/>
          <w:w w:val="105"/>
        </w:rPr>
        <w:t xml:space="preserve">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64374D8A"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 xml:space="preserve">Employment, upgrading, demotion, or transfer; recruitment or recruitment advertising; layoff or termination; rates of pay or other forms of compensation; and selection for training, including apprenticeship. The contractor agrees to post in conspicuous </w:t>
      </w:r>
      <w:proofErr w:type="gramStart"/>
      <w:r w:rsidRPr="00D57575">
        <w:rPr>
          <w:rFonts w:ascii="Times New Roman" w:hAnsi="Times New Roman" w:cs="Times New Roman"/>
          <w:w w:val="105"/>
        </w:rPr>
        <w:t>places,</w:t>
      </w:r>
      <w:proofErr w:type="gramEnd"/>
      <w:r w:rsidRPr="00D57575">
        <w:rPr>
          <w:rFonts w:ascii="Times New Roman" w:hAnsi="Times New Roman" w:cs="Times New Roman"/>
          <w:w w:val="105"/>
        </w:rPr>
        <w:t xml:space="preserve">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not discharge or in any other manner discriminate against any employee or applicant </w:t>
      </w:r>
      <w:proofErr w:type="gramStart"/>
      <w:r w:rsidRPr="00D57575">
        <w:rPr>
          <w:rFonts w:ascii="Times New Roman" w:hAnsi="Times New Roman" w:cs="Times New Roman"/>
          <w:w w:val="105"/>
        </w:rPr>
        <w:t>for employment because</w:t>
      </w:r>
      <w:proofErr w:type="gramEnd"/>
      <w:r w:rsidRPr="00D57575">
        <w:rPr>
          <w:rFonts w:ascii="Times New Roman" w:hAnsi="Times New Roman" w:cs="Times New Roman"/>
          <w:w w:val="105"/>
        </w:rPr>
        <w:t xml:space="preserve"> such </w:t>
      </w:r>
      <w:proofErr w:type="gramStart"/>
      <w:r w:rsidRPr="00D57575">
        <w:rPr>
          <w:rFonts w:ascii="Times New Roman" w:hAnsi="Times New Roman" w:cs="Times New Roman"/>
          <w:w w:val="105"/>
        </w:rPr>
        <w:t>employee</w:t>
      </w:r>
      <w:proofErr w:type="gramEnd"/>
      <w:r w:rsidRPr="00D57575">
        <w:rPr>
          <w:rFonts w:ascii="Times New Roman" w:hAnsi="Times New Roman" w:cs="Times New Roman"/>
          <w:w w:val="105"/>
        </w:rPr>
        <w:t xml:space="preserv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D57575">
        <w:rPr>
          <w:rFonts w:ascii="Times New Roman" w:hAnsi="Times New Roman" w:cs="Times New Roman"/>
          <w:w w:val="105"/>
        </w:rPr>
        <w:t>section, and</w:t>
      </w:r>
      <w:proofErr w:type="gramEnd"/>
      <w:r w:rsidRPr="00D57575">
        <w:rPr>
          <w:rFonts w:ascii="Times New Roman" w:hAnsi="Times New Roman" w:cs="Times New Roman"/>
          <w:w w:val="105"/>
        </w:rPr>
        <w:t xml:space="preserve">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77777777"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D78A9D5"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 xml:space="preserve">Emergecy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757DCA51"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w:t>
      </w:r>
      <w:proofErr w:type="gramStart"/>
      <w:r w:rsidRPr="00D57575">
        <w:rPr>
          <w:rFonts w:ascii="Times New Roman" w:hAnsi="Times New Roman" w:cs="Times New Roman"/>
          <w:w w:val="105"/>
        </w:rPr>
        <w:t>therefor</w:t>
      </w:r>
      <w:proofErr w:type="gramEnd"/>
      <w:r w:rsidRPr="00D57575">
        <w:rPr>
          <w:rFonts w:ascii="Times New Roman" w:hAnsi="Times New Roman" w:cs="Times New Roman"/>
          <w:w w:val="105"/>
        </w:rPr>
        <w:t xml:space="preserve">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(a)(2)(i)</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(b)(3)(i)</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w:t>
      </w:r>
      <w:proofErr w:type="spellStart"/>
      <w:r w:rsidRPr="00D57575">
        <w:rPr>
          <w:rFonts w:ascii="Times New Roman" w:hAnsi="Times New Roman" w:cs="Times New Roman"/>
        </w:rPr>
        <w:t>ies</w:t>
      </w:r>
      <w:proofErr w:type="spellEnd"/>
      <w:r w:rsidRPr="00D57575">
        <w:rPr>
          <w:rFonts w:ascii="Times New Roman" w:hAnsi="Times New Roman" w:cs="Times New Roman"/>
        </w:rPr>
        <w:t xml:space="preserve">),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w:t>
      </w:r>
      <w:proofErr w:type="spellStart"/>
      <w:r w:rsidRPr="00D57575">
        <w:rPr>
          <w:rFonts w:ascii="Times New Roman" w:hAnsi="Times New Roman" w:cs="Times New Roman"/>
        </w:rPr>
        <w:t>reprocurement</w:t>
      </w:r>
      <w:proofErr w:type="spellEnd"/>
      <w:r w:rsidRPr="00D57575">
        <w:rPr>
          <w:rFonts w:ascii="Times New Roman" w:hAnsi="Times New Roman" w:cs="Times New Roman"/>
        </w:rPr>
        <w:t xml:space="preserve">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 xml:space="preserve">ection and also a clause requiring the subcontractors to include these clauses in any </w:t>
      </w:r>
      <w:proofErr w:type="gramStart"/>
      <w:r w:rsidRPr="00D57575">
        <w:rPr>
          <w:rFonts w:ascii="Times New Roman" w:hAnsi="Times New Roman" w:cs="Times New Roman"/>
          <w:w w:val="105"/>
        </w:rPr>
        <w:t>lower tier</w:t>
      </w:r>
      <w:proofErr w:type="gramEnd"/>
      <w:r w:rsidRPr="00D57575">
        <w:rPr>
          <w:rFonts w:ascii="Times New Roman" w:hAnsi="Times New Roman" w:cs="Times New Roman"/>
          <w:w w:val="105"/>
        </w:rPr>
        <w:t xml:space="preserve">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 xml:space="preserve">Notifying any contractor of any conduct which the worker reasonably believes constitutes a violation of the Contract Work Hours and Safety Standards Act (CWHSSA) or its implementing regulations in this </w:t>
      </w:r>
      <w:proofErr w:type="gramStart"/>
      <w:r w:rsidRPr="00D57575">
        <w:rPr>
          <w:sz w:val="22"/>
          <w:szCs w:val="22"/>
        </w:rPr>
        <w:t>part;</w:t>
      </w:r>
      <w:proofErr w:type="gramEnd"/>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 xml:space="preserve">Filing any complaint, initiating or causing to be initiated any proceeding, or otherwise asserting or seeking to assert on behalf of themselves or others any right or protection under CWHSSA or this </w:t>
      </w:r>
      <w:proofErr w:type="gramStart"/>
      <w:r w:rsidRPr="00D57575">
        <w:rPr>
          <w:sz w:val="22"/>
          <w:szCs w:val="22"/>
        </w:rPr>
        <w:t>part;</w:t>
      </w:r>
      <w:proofErr w:type="gramEnd"/>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w:t>
      </w:r>
      <w:proofErr w:type="gramStart"/>
      <w:r w:rsidRPr="00D57575">
        <w:rPr>
          <w:sz w:val="22"/>
          <w:szCs w:val="22"/>
        </w:rPr>
        <w:t>each such</w:t>
      </w:r>
      <w:proofErr w:type="gramEnd"/>
      <w:r w:rsidRPr="00D57575">
        <w:rPr>
          <w:sz w:val="22"/>
          <w:szCs w:val="22"/>
        </w:rPr>
        <w:t xml:space="preserve"> worker; each worker's correct classification(s) of work actually performed; hourly rates of wages paid; daily and weekly number of hours actually worked;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1E289743"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r w:rsidRPr="00D57575">
        <w:rPr>
          <w:rFonts w:ascii="Times New Roman" w:hAnsi="Times New Roman" w:cs="Times New Roman"/>
        </w:rPr>
        <w:t xml:space="preserve">In the event that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w:t>
      </w:r>
      <w:proofErr w:type="gramStart"/>
      <w:r w:rsidRPr="00D57575">
        <w:rPr>
          <w:rFonts w:ascii="Times New Roman" w:hAnsi="Times New Roman" w:cs="Times New Roman"/>
          <w:w w:val="105"/>
        </w:rPr>
        <w:t>lower tier covered</w:t>
      </w:r>
      <w:proofErr w:type="gramEnd"/>
      <w:r w:rsidRPr="00D57575">
        <w:rPr>
          <w:rFonts w:ascii="Times New Roman" w:hAnsi="Times New Roman" w:cs="Times New Roman"/>
          <w:w w:val="105"/>
        </w:rPr>
        <w:t xml:space="preserve">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including subcontracts entered into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D57575">
        <w:rPr>
          <w:rFonts w:ascii="Times New Roman" w:hAnsi="Times New Roman" w:cs="Times New Roman"/>
          <w:w w:val="105"/>
        </w:rPr>
        <w:t>tier</w:t>
      </w:r>
      <w:proofErr w:type="spellEnd"/>
      <w:r w:rsidRPr="00D57575">
        <w:rPr>
          <w:rFonts w:ascii="Times New Roman" w:hAnsi="Times New Roman" w:cs="Times New Roman"/>
          <w:w w:val="105"/>
        </w:rPr>
        <w:t xml:space="preserve">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53D57D01"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w:t>
      </w:r>
      <w:r w:rsidR="00904B04">
        <w:rPr>
          <w:rFonts w:ascii="Times New Roman" w:hAnsi="Times New Roman" w:cs="Times New Roman"/>
          <w:w w:val="105"/>
        </w:rPr>
        <w:t>l</w:t>
      </w:r>
      <w:r w:rsidRPr="00D57575">
        <w:rPr>
          <w:rFonts w:ascii="Times New Roman" w:hAnsi="Times New Roman" w:cs="Times New Roman"/>
          <w:w w:val="105"/>
        </w:rPr>
        <w:t>l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placed when this transaction was made or entered into. Submission of this certification is a prerequisite for making or entering into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 xml:space="preserve">The </w:t>
      </w:r>
      <w:proofErr w:type="gramStart"/>
      <w:r w:rsidRPr="00D57575">
        <w:rPr>
          <w:rFonts w:ascii="Times New Roman" w:hAnsi="Times New Roman" w:cs="Times New Roman"/>
        </w:rPr>
        <w:t>Contractor, _</w:t>
      </w:r>
      <w:proofErr w:type="gramEnd"/>
      <w:r w:rsidRPr="00D57575">
        <w:rPr>
          <w:rFonts w:ascii="Times New Roman" w:hAnsi="Times New Roman" w:cs="Times New Roman"/>
        </w:rPr>
        <w:t>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 xml:space="preserve">Competitively within a timeframe </w:t>
      </w:r>
      <w:proofErr w:type="gramStart"/>
      <w:r w:rsidRPr="00D57575">
        <w:rPr>
          <w:rFonts w:ascii="Times New Roman" w:hAnsi="Times New Roman" w:cs="Times New Roman"/>
          <w:w w:val="105"/>
        </w:rPr>
        <w:t>providing for</w:t>
      </w:r>
      <w:proofErr w:type="gramEnd"/>
      <w:r w:rsidRPr="00D57575">
        <w:rPr>
          <w:rFonts w:ascii="Times New Roman" w:hAnsi="Times New Roman" w:cs="Times New Roman"/>
          <w:w w:val="105"/>
        </w:rPr>
        <w:t xml:space="preserve"> compliance with the contract performance </w:t>
      </w:r>
      <w:proofErr w:type="gramStart"/>
      <w:r w:rsidRPr="00D57575">
        <w:rPr>
          <w:rFonts w:ascii="Times New Roman" w:hAnsi="Times New Roman" w:cs="Times New Roman"/>
          <w:w w:val="105"/>
        </w:rPr>
        <w:t>schedule;</w:t>
      </w:r>
      <w:proofErr w:type="gramEnd"/>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4029775D"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w:t>
      </w:r>
      <w:r w:rsidR="00904B04">
        <w:rPr>
          <w:rFonts w:ascii="Times New Roman" w:hAnsi="Times New Roman" w:cs="Times New Roman"/>
          <w:w w:val="105"/>
        </w:rPr>
        <w:t>d</w:t>
      </w:r>
      <w:r w:rsidRPr="00D57575">
        <w:rPr>
          <w:rFonts w:ascii="Times New Roman" w:hAnsi="Times New Roman" w:cs="Times New Roman"/>
          <w:w w:val="105"/>
        </w:rPr>
        <w:t xml:space="preserv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 xml:space="preserve">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t>Enter into,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lastRenderedPageBreak/>
        <w:t>iv.</w:t>
      </w:r>
      <w:r w:rsidRPr="00D57575">
        <w:rPr>
          <w:rFonts w:ascii="Times New Roman" w:hAnsi="Times New Roman" w:cs="Times New Roman"/>
          <w:bCs/>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Other</w:t>
      </w:r>
      <w:proofErr w:type="gramEnd"/>
      <w:r w:rsidRPr="00D57575">
        <w:rPr>
          <w:rFonts w:ascii="Times New Roman" w:hAnsi="Times New Roman" w:cs="Times New Roman"/>
          <w:bCs/>
        </w:rPr>
        <w:t xml:space="preserve">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w:t>
      </w:r>
      <w:proofErr w:type="gramStart"/>
      <w:r w:rsidRPr="00D57575">
        <w:rPr>
          <w:rFonts w:ascii="Times New Roman" w:hAnsi="Times New Roman" w:cs="Times New Roman"/>
          <w:bCs/>
        </w:rPr>
        <w:t>:  Any</w:t>
      </w:r>
      <w:proofErr w:type="gramEnd"/>
      <w:r w:rsidRPr="00D57575">
        <w:rPr>
          <w:rFonts w:ascii="Times New Roman" w:hAnsi="Times New Roman" w:cs="Times New Roman"/>
          <w:bCs/>
        </w:rPr>
        <w:t xml:space="preserve">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 xml:space="preserve">Subcontracts.  The Contractor shall insert the substance of this clause, including </w:t>
      </w:r>
      <w:proofErr w:type="gramStart"/>
      <w:r w:rsidRPr="00D57575">
        <w:rPr>
          <w:rFonts w:ascii="Times New Roman" w:hAnsi="Times New Roman" w:cs="Times New Roman"/>
          <w:bCs/>
        </w:rPr>
        <w:t>this paragraph</w:t>
      </w:r>
      <w:proofErr w:type="gramEnd"/>
      <w:r w:rsidRPr="00D57575">
        <w:rPr>
          <w:rFonts w:ascii="Times New Roman" w:hAnsi="Times New Roman" w:cs="Times New Roman"/>
          <w:bCs/>
        </w:rPr>
        <w:t xml:space="preserve"> 5, in all subcontracts and other contractual instruments.</w:t>
      </w:r>
    </w:p>
    <w:p w14:paraId="4B970567" w14:textId="77777777"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6B15973"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r w:rsidRPr="00D57575">
        <w:rPr>
          <w:rFonts w:cs="Times New Roman"/>
          <w:caps/>
          <w:sz w:val="22"/>
          <w:szCs w:val="22"/>
        </w:rPr>
        <w:t>.</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w:t>
      </w:r>
      <w:proofErr w:type="gramStart"/>
      <w:r w:rsidRPr="00D57575">
        <w:rPr>
          <w:rFonts w:ascii="Times New Roman" w:hAnsi="Times New Roman" w:cs="Times New Roman"/>
        </w:rPr>
        <w:t>subject</w:t>
      </w:r>
      <w:proofErr w:type="gramEnd"/>
      <w:r w:rsidRPr="00D57575">
        <w:rPr>
          <w:rFonts w:ascii="Times New Roman" w:hAnsi="Times New Roman" w:cs="Times New Roman"/>
        </w:rPr>
        <w:t xml:space="preserve">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w:t>
      </w:r>
      <w:proofErr w:type="gramStart"/>
      <w:r w:rsidRPr="00F55339">
        <w:rPr>
          <w:rFonts w:ascii="Times New Roman" w:hAnsi="Times New Roman" w:cs="Times New Roman"/>
        </w:rPr>
        <w:t xml:space="preserve">the </w:t>
      </w:r>
      <w:r>
        <w:rPr>
          <w:rFonts w:ascii="Times New Roman" w:hAnsi="Times New Roman" w:cs="Times New Roman"/>
        </w:rPr>
        <w:t>___</w:t>
      </w:r>
      <w:proofErr w:type="gramEnd"/>
      <w:r>
        <w:rPr>
          <w:rFonts w:ascii="Times New Roman" w:hAnsi="Times New Roman" w:cs="Times New Roman"/>
        </w:rPr>
        <w:t>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 xml:space="preserve">The </w:t>
      </w:r>
      <w:proofErr w:type="gramStart"/>
      <w:r w:rsidRPr="0004725E">
        <w:rPr>
          <w:rFonts w:ascii="Times New Roman" w:hAnsi="Times New Roman" w:cs="Times New Roman"/>
        </w:rPr>
        <w:t>Contractor, _</w:t>
      </w:r>
      <w:proofErr w:type="gramEnd"/>
      <w:r w:rsidRPr="0004725E">
        <w:rPr>
          <w:rFonts w:ascii="Times New Roman" w:hAnsi="Times New Roman" w:cs="Times New Roman"/>
        </w:rPr>
        <w:t>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2D392ABB"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r w:rsidR="00A96323">
        <w:rPr>
          <w:rFonts w:cs="Times New Roman"/>
          <w:sz w:val="22"/>
          <w:szCs w:val="22"/>
        </w:rPr>
        <w:t>.</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 xml:space="preserve">The following access to records requirements </w:t>
      </w:r>
      <w:proofErr w:type="gramStart"/>
      <w:r w:rsidRPr="00D57575">
        <w:rPr>
          <w:rFonts w:ascii="Times New Roman" w:hAnsi="Times New Roman" w:cs="Times New Roman"/>
        </w:rPr>
        <w:t>apply</w:t>
      </w:r>
      <w:proofErr w:type="gramEnd"/>
      <w:r w:rsidRPr="00D57575">
        <w:rPr>
          <w:rFonts w:ascii="Times New Roman" w:hAnsi="Times New Roman" w:cs="Times New Roman"/>
        </w:rPr>
        <w:t xml:space="preserve">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7831E55D"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r w:rsidR="00A96323">
        <w:rPr>
          <w:rFonts w:cs="Times New Roman"/>
          <w:sz w:val="22"/>
          <w:szCs w:val="22"/>
        </w:rPr>
        <w:t>.</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5A36824F"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r w:rsidR="00A96323">
        <w:rPr>
          <w:rFonts w:cs="Times New Roman"/>
          <w:sz w:val="22"/>
          <w:szCs w:val="22"/>
        </w:rPr>
        <w:t>.</w:t>
      </w:r>
      <w:bookmarkEnd w:id="16"/>
    </w:p>
    <w:p w14:paraId="3D6BC960" w14:textId="29520DEB"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financial assistance will be used to fund the contract. The Contractor will comply wi</w:t>
      </w:r>
      <w:r w:rsidR="00904B04">
        <w:rPr>
          <w:rFonts w:ascii="Times New Roman" w:hAnsi="Times New Roman" w:cs="Times New Roman"/>
        </w:rPr>
        <w:t>th</w:t>
      </w:r>
      <w:r w:rsidRPr="00D57575">
        <w:rPr>
          <w:rFonts w:ascii="Times New Roman" w:hAnsi="Times New Roman" w:cs="Times New Roman"/>
        </w:rPr>
        <w:t xml:space="preserve">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6153782F"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r w:rsidR="00A96323">
        <w:rPr>
          <w:rFonts w:cs="Times New Roman"/>
          <w:sz w:val="22"/>
          <w:szCs w:val="22"/>
        </w:rPr>
        <w: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4846DB2F"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r w:rsidR="00A96323">
        <w:rPr>
          <w:rFonts w:cs="Times New Roman"/>
          <w:sz w:val="22"/>
          <w:szCs w:val="22"/>
        </w:rPr>
        <w:t>.</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5F367C2E"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r w:rsidR="00A96323" w:rsidRPr="00A96323">
        <w:rPr>
          <w:rFonts w:ascii="Times New Roman Bold" w:hAnsi="Times New Roman Bold" w:cs="Times New Roman"/>
          <w:caps/>
          <w:sz w:val="22"/>
          <w:szCs w:val="22"/>
        </w:rPr>
        <w:t>.</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5030E4B2"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r w:rsidR="00A96323" w:rsidRPr="00526790">
        <w:rPr>
          <w:rFonts w:ascii="Times New Roman Bold" w:hAnsi="Times New Roman Bold"/>
          <w:caps/>
        </w:rPr>
        <w: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79D3290B"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39F7BFC8"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 xml:space="preserve">County encourages the use of environmentally friendly construction practices in the performance of this Agreement. In particular, County encourages that the performance of this agreement </w:t>
      </w:r>
      <w:proofErr w:type="gramStart"/>
      <w:r w:rsidRPr="003925A8">
        <w:rPr>
          <w:rFonts w:ascii="Times New Roman" w:hAnsi="Times New Roman" w:cs="Times New Roman"/>
        </w:rPr>
        <w:t>include</w:t>
      </w:r>
      <w:proofErr w:type="gramEnd"/>
      <w:r w:rsidRPr="003925A8">
        <w:rPr>
          <w:rFonts w:ascii="Times New Roman" w:hAnsi="Times New Roman" w:cs="Times New Roman"/>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087F2EA0" w:rsidR="00335C5A" w:rsidRPr="00335C5A" w:rsidRDefault="00C835D2" w:rsidP="00B50A43">
    <w:pPr>
      <w:pStyle w:val="TableParagraph"/>
      <w:tabs>
        <w:tab w:val="right" w:pos="9360"/>
      </w:tabs>
      <w:ind w:hanging="540"/>
    </w:pPr>
    <w:r>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t>2</w:t>
    </w:r>
    <w:r w:rsidR="00930A00">
      <w:rPr>
        <w:rFonts w:ascii="Times New Roman" w:hAnsi="Times New Roman" w:cs="Times New Roman"/>
        <w:b/>
        <w:bCs/>
        <w:sz w:val="24"/>
        <w:szCs w:val="24"/>
      </w:rPr>
      <w:t>5-</w:t>
    </w:r>
    <w:r w:rsidR="00B50A43">
      <w:rPr>
        <w:rFonts w:ascii="Times New Roman" w:hAnsi="Times New Roman" w:cs="Times New Roman"/>
        <w:b/>
        <w:bCs/>
        <w:sz w:val="24"/>
        <w:szCs w:val="24"/>
      </w:rPr>
      <w:t>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h9K1V4meYMd7nKCjw6oNmn+F9dZQvN2JoCY35BPb3F4IYbhGbapVQdM8F+nhXSjqVeMKTCwoCcNir8cq/xTBg==" w:salt="1/x/V3wi3Ib4rSpf94DJ9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163C"/>
    <w:rsid w:val="00042A5C"/>
    <w:rsid w:val="0004725E"/>
    <w:rsid w:val="000519DC"/>
    <w:rsid w:val="0006231D"/>
    <w:rsid w:val="00084D1C"/>
    <w:rsid w:val="000F044C"/>
    <w:rsid w:val="00103799"/>
    <w:rsid w:val="001249C0"/>
    <w:rsid w:val="00130955"/>
    <w:rsid w:val="001362A2"/>
    <w:rsid w:val="001659DD"/>
    <w:rsid w:val="00167EF5"/>
    <w:rsid w:val="001709C1"/>
    <w:rsid w:val="001E5AC6"/>
    <w:rsid w:val="001F7CDA"/>
    <w:rsid w:val="00212A56"/>
    <w:rsid w:val="0022021F"/>
    <w:rsid w:val="002507DB"/>
    <w:rsid w:val="00252018"/>
    <w:rsid w:val="00265295"/>
    <w:rsid w:val="00277AE3"/>
    <w:rsid w:val="00277ECE"/>
    <w:rsid w:val="00286478"/>
    <w:rsid w:val="00294914"/>
    <w:rsid w:val="002A3D3C"/>
    <w:rsid w:val="002E2117"/>
    <w:rsid w:val="002E31DB"/>
    <w:rsid w:val="002F29DA"/>
    <w:rsid w:val="00304964"/>
    <w:rsid w:val="003101FF"/>
    <w:rsid w:val="00335C5A"/>
    <w:rsid w:val="00356FAC"/>
    <w:rsid w:val="00367C1D"/>
    <w:rsid w:val="003709C4"/>
    <w:rsid w:val="003925A8"/>
    <w:rsid w:val="003B3903"/>
    <w:rsid w:val="003C00FD"/>
    <w:rsid w:val="003C084B"/>
    <w:rsid w:val="003F1464"/>
    <w:rsid w:val="004014A9"/>
    <w:rsid w:val="004212ED"/>
    <w:rsid w:val="00427FC1"/>
    <w:rsid w:val="00443E60"/>
    <w:rsid w:val="00464EE5"/>
    <w:rsid w:val="00467AE4"/>
    <w:rsid w:val="00471AB8"/>
    <w:rsid w:val="004E10BA"/>
    <w:rsid w:val="00525485"/>
    <w:rsid w:val="00526790"/>
    <w:rsid w:val="00536899"/>
    <w:rsid w:val="005D3B69"/>
    <w:rsid w:val="005E3C14"/>
    <w:rsid w:val="00615596"/>
    <w:rsid w:val="00622EA3"/>
    <w:rsid w:val="006277BA"/>
    <w:rsid w:val="00690AEA"/>
    <w:rsid w:val="006F3A7F"/>
    <w:rsid w:val="00717706"/>
    <w:rsid w:val="0073607D"/>
    <w:rsid w:val="007411A7"/>
    <w:rsid w:val="00743596"/>
    <w:rsid w:val="00745DB6"/>
    <w:rsid w:val="00746F4D"/>
    <w:rsid w:val="00756D80"/>
    <w:rsid w:val="0076331D"/>
    <w:rsid w:val="007672A3"/>
    <w:rsid w:val="00787C3B"/>
    <w:rsid w:val="007F4053"/>
    <w:rsid w:val="0080374E"/>
    <w:rsid w:val="0081667C"/>
    <w:rsid w:val="008367BF"/>
    <w:rsid w:val="00871B0B"/>
    <w:rsid w:val="00876657"/>
    <w:rsid w:val="00883DCF"/>
    <w:rsid w:val="00886FF1"/>
    <w:rsid w:val="008A5CB5"/>
    <w:rsid w:val="008C67D0"/>
    <w:rsid w:val="00900B75"/>
    <w:rsid w:val="009016DD"/>
    <w:rsid w:val="00904B04"/>
    <w:rsid w:val="00925DD0"/>
    <w:rsid w:val="00930A00"/>
    <w:rsid w:val="00936340"/>
    <w:rsid w:val="00954E00"/>
    <w:rsid w:val="00972929"/>
    <w:rsid w:val="0097292D"/>
    <w:rsid w:val="00976338"/>
    <w:rsid w:val="009A0420"/>
    <w:rsid w:val="009A15BD"/>
    <w:rsid w:val="009A66A4"/>
    <w:rsid w:val="009B71BA"/>
    <w:rsid w:val="009C44D4"/>
    <w:rsid w:val="009D1F1B"/>
    <w:rsid w:val="009D1FC8"/>
    <w:rsid w:val="009F59D2"/>
    <w:rsid w:val="00A16F29"/>
    <w:rsid w:val="00A54453"/>
    <w:rsid w:val="00A67458"/>
    <w:rsid w:val="00A85A35"/>
    <w:rsid w:val="00A870B6"/>
    <w:rsid w:val="00A9038A"/>
    <w:rsid w:val="00A96323"/>
    <w:rsid w:val="00AA4FE3"/>
    <w:rsid w:val="00AA5B3B"/>
    <w:rsid w:val="00AF21D3"/>
    <w:rsid w:val="00B21359"/>
    <w:rsid w:val="00B50A43"/>
    <w:rsid w:val="00B70E17"/>
    <w:rsid w:val="00BC049F"/>
    <w:rsid w:val="00BE71E2"/>
    <w:rsid w:val="00BE7653"/>
    <w:rsid w:val="00C21E02"/>
    <w:rsid w:val="00C26B97"/>
    <w:rsid w:val="00C47D92"/>
    <w:rsid w:val="00C7582B"/>
    <w:rsid w:val="00C767DD"/>
    <w:rsid w:val="00C835D2"/>
    <w:rsid w:val="00CB7784"/>
    <w:rsid w:val="00CC1649"/>
    <w:rsid w:val="00CC6A53"/>
    <w:rsid w:val="00CD574E"/>
    <w:rsid w:val="00D02CB7"/>
    <w:rsid w:val="00D176C3"/>
    <w:rsid w:val="00D35F67"/>
    <w:rsid w:val="00D447C5"/>
    <w:rsid w:val="00D469DB"/>
    <w:rsid w:val="00D57575"/>
    <w:rsid w:val="00D57CC8"/>
    <w:rsid w:val="00DA0F9C"/>
    <w:rsid w:val="00DB4C4B"/>
    <w:rsid w:val="00DD00E8"/>
    <w:rsid w:val="00DF50E4"/>
    <w:rsid w:val="00DF6ABF"/>
    <w:rsid w:val="00E108F8"/>
    <w:rsid w:val="00E11886"/>
    <w:rsid w:val="00E1341F"/>
    <w:rsid w:val="00E5083B"/>
    <w:rsid w:val="00E52FF8"/>
    <w:rsid w:val="00E63A5D"/>
    <w:rsid w:val="00E751AE"/>
    <w:rsid w:val="00EB0F07"/>
    <w:rsid w:val="00EC46A5"/>
    <w:rsid w:val="00F1180C"/>
    <w:rsid w:val="00F3606A"/>
    <w:rsid w:val="00F40CB6"/>
    <w:rsid w:val="00F52280"/>
    <w:rsid w:val="00F55339"/>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3" Type="http://schemas.openxmlformats.org/officeDocument/2006/relationships/settings" Target="settings.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link/uscode/31/3901" TargetMode="Externa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6465</Words>
  <Characters>36853</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6</cp:revision>
  <dcterms:created xsi:type="dcterms:W3CDTF">2025-02-26T19:29:00Z</dcterms:created>
  <dcterms:modified xsi:type="dcterms:W3CDTF">2025-08-25T12:43:00Z</dcterms:modified>
</cp:coreProperties>
</file>