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0A5BE167" w:rsidR="00EF5966" w:rsidRPr="00CD038E" w:rsidRDefault="00EA1F05" w:rsidP="00D258A9">
      <w:pPr>
        <w:tabs>
          <w:tab w:val="left" w:pos="7020"/>
        </w:tabs>
        <w:rPr>
          <w:szCs w:val="24"/>
        </w:rPr>
      </w:pPr>
      <w:r>
        <w:rPr>
          <w:b/>
          <w:szCs w:val="24"/>
        </w:rPr>
        <w:t xml:space="preserve">SOLICTATION: </w:t>
      </w:r>
      <w:r w:rsidR="00697A81">
        <w:rPr>
          <w:bCs/>
          <w:szCs w:val="24"/>
        </w:rPr>
        <w:t xml:space="preserve">Environmental Studies and Assessments </w:t>
      </w:r>
      <w:r w:rsidR="00525414" w:rsidRPr="00CD038E">
        <w:rPr>
          <w:szCs w:val="24"/>
        </w:rPr>
        <w:tab/>
      </w:r>
      <w:r w:rsidR="00C3031B">
        <w:rPr>
          <w:szCs w:val="24"/>
        </w:rPr>
        <w:tab/>
      </w:r>
      <w:r w:rsidR="00C3031B">
        <w:rPr>
          <w:szCs w:val="24"/>
        </w:rPr>
        <w:tab/>
      </w:r>
      <w:r>
        <w:rPr>
          <w:szCs w:val="24"/>
        </w:rPr>
        <w:tab/>
      </w:r>
      <w:r w:rsidR="00983809">
        <w:rPr>
          <w:szCs w:val="24"/>
        </w:rPr>
        <w:t>10</w:t>
      </w:r>
      <w:r w:rsidR="00697A81">
        <w:rPr>
          <w:szCs w:val="24"/>
        </w:rPr>
        <w:t>/</w:t>
      </w:r>
      <w:r w:rsidR="00CD56BE">
        <w:rPr>
          <w:szCs w:val="24"/>
        </w:rPr>
        <w:t>09</w:t>
      </w:r>
      <w:r w:rsidR="00697A81">
        <w:rPr>
          <w:szCs w:val="24"/>
        </w:rPr>
        <w:t>/25</w:t>
      </w:r>
    </w:p>
    <w:p w14:paraId="6B289673" w14:textId="77777777" w:rsidR="006D745E" w:rsidRPr="00CD038E" w:rsidRDefault="006D745E" w:rsidP="008762A3">
      <w:pPr>
        <w:jc w:val="center"/>
        <w:rPr>
          <w:b/>
          <w:szCs w:val="24"/>
        </w:rPr>
      </w:pPr>
    </w:p>
    <w:p w14:paraId="33560EC3" w14:textId="0979A28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w:t>
      </w:r>
      <w:r w:rsidR="0050375E">
        <w:rPr>
          <w:szCs w:val="24"/>
        </w:rPr>
        <w:t xml:space="preserve"> solicitation</w:t>
      </w:r>
      <w:r w:rsidRPr="00CD038E">
        <w:rPr>
          <w:szCs w:val="24"/>
        </w:rPr>
        <w:t xml:space="preserve"> addenda</w:t>
      </w:r>
      <w:r w:rsidR="00855896">
        <w:rPr>
          <w:szCs w:val="24"/>
        </w:rPr>
        <w:t xml:space="preserve">. </w:t>
      </w:r>
      <w:r w:rsidR="0050375E">
        <w:rPr>
          <w:szCs w:val="24"/>
        </w:rPr>
        <w:t xml:space="preserve">Submit an electronically signed copy </w:t>
      </w:r>
      <w:r w:rsidRPr="00CD038E">
        <w:rPr>
          <w:szCs w:val="24"/>
        </w:rPr>
        <w:t>with</w:t>
      </w:r>
      <w:r w:rsidR="003B5832">
        <w:rPr>
          <w:szCs w:val="24"/>
        </w:rPr>
        <w:t xml:space="preserve"> </w:t>
      </w:r>
      <w:r w:rsidR="0050375E">
        <w:rPr>
          <w:szCs w:val="24"/>
        </w:rPr>
        <w:t xml:space="preserve">solicitation </w:t>
      </w:r>
      <w:r w:rsidR="003B5832">
        <w:rPr>
          <w:szCs w:val="24"/>
        </w:rPr>
        <w:t>s</w:t>
      </w:r>
      <w:r>
        <w:rPr>
          <w:szCs w:val="24"/>
        </w:rPr>
        <w:t>ubmi</w:t>
      </w:r>
      <w:r w:rsidR="0050375E">
        <w:rPr>
          <w:szCs w:val="24"/>
        </w:rPr>
        <w:t>ssion</w:t>
      </w:r>
      <w:r w:rsidR="00855896">
        <w:rPr>
          <w:szCs w:val="24"/>
        </w:rPr>
        <w:t>.</w:t>
      </w:r>
      <w:r w:rsidRPr="00CD038E">
        <w:rPr>
          <w:szCs w:val="24"/>
        </w:rPr>
        <w:t xml:space="preserve"> Failure to acknowledge </w:t>
      </w:r>
      <w:r w:rsidR="0050375E">
        <w:rPr>
          <w:szCs w:val="24"/>
        </w:rPr>
        <w:t>an</w:t>
      </w:r>
      <w:r w:rsidRPr="00CD038E">
        <w:rPr>
          <w:szCs w:val="24"/>
        </w:rPr>
        <w:t xml:space="preserve"> addendum may prevent the </w:t>
      </w:r>
      <w:r w:rsidR="003B5832">
        <w:rPr>
          <w:szCs w:val="24"/>
        </w:rPr>
        <w:t>submi</w:t>
      </w:r>
      <w:r w:rsidR="0050375E">
        <w:rPr>
          <w:szCs w:val="24"/>
        </w:rPr>
        <w:t>ssion</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4AE19AEB" w14:textId="77777777" w:rsidR="00697A81" w:rsidRPr="00697A81" w:rsidRDefault="00697A81" w:rsidP="00486543">
      <w:pPr>
        <w:pStyle w:val="ListParagraph"/>
        <w:numPr>
          <w:ilvl w:val="0"/>
          <w:numId w:val="8"/>
        </w:numPr>
        <w:spacing w:after="120"/>
        <w:ind w:left="0"/>
        <w:rPr>
          <w:rFonts w:ascii="Times New Roman" w:hAnsi="Times New Roman"/>
          <w:sz w:val="24"/>
          <w:szCs w:val="24"/>
        </w:rPr>
      </w:pPr>
      <w:r w:rsidRPr="00697A81">
        <w:rPr>
          <w:rFonts w:ascii="Times New Roman" w:hAnsi="Times New Roman"/>
          <w:sz w:val="24"/>
          <w:szCs w:val="24"/>
        </w:rPr>
        <w:t xml:space="preserve">For the Environmental Studies and Assessments (Bid Number: 25-747) RFP, does the County want the firms that submit to be able to cover every item in the scope? Can we </w:t>
      </w:r>
      <w:proofErr w:type="gramStart"/>
      <w:r w:rsidRPr="00697A81">
        <w:rPr>
          <w:rFonts w:ascii="Times New Roman" w:hAnsi="Times New Roman"/>
          <w:sz w:val="24"/>
          <w:szCs w:val="24"/>
        </w:rPr>
        <w:t>submit for</w:t>
      </w:r>
      <w:proofErr w:type="gramEnd"/>
      <w:r w:rsidRPr="00697A81">
        <w:rPr>
          <w:rFonts w:ascii="Times New Roman" w:hAnsi="Times New Roman"/>
          <w:sz w:val="24"/>
          <w:szCs w:val="24"/>
        </w:rPr>
        <w:t xml:space="preserve"> only natural resources only, and not Phase 1 and Phase 2 environmental assessments or should we include subconsultants as needed to address every item listed?</w:t>
      </w:r>
    </w:p>
    <w:p w14:paraId="502707AC" w14:textId="6DC21B48" w:rsidR="002D4C1C" w:rsidRPr="00351EF9" w:rsidRDefault="006B30AF" w:rsidP="00486543">
      <w:pPr>
        <w:pStyle w:val="ListParagraph"/>
        <w:numPr>
          <w:ilvl w:val="1"/>
          <w:numId w:val="8"/>
        </w:numPr>
        <w:spacing w:after="120"/>
        <w:ind w:left="360"/>
        <w:jc w:val="both"/>
        <w:rPr>
          <w:rFonts w:ascii="Times New Roman" w:hAnsi="Times New Roman"/>
          <w:color w:val="000000"/>
          <w:sz w:val="24"/>
          <w:szCs w:val="24"/>
        </w:rPr>
      </w:pPr>
      <w:r w:rsidRPr="00351EF9">
        <w:rPr>
          <w:rFonts w:ascii="Times New Roman" w:hAnsi="Times New Roman"/>
          <w:color w:val="000000"/>
          <w:sz w:val="24"/>
          <w:szCs w:val="24"/>
        </w:rPr>
        <w:t xml:space="preserve">Vendors may </w:t>
      </w:r>
      <w:r w:rsidR="003D55DD" w:rsidRPr="00351EF9">
        <w:rPr>
          <w:rFonts w:ascii="Times New Roman" w:hAnsi="Times New Roman"/>
          <w:color w:val="000000"/>
          <w:sz w:val="24"/>
          <w:szCs w:val="24"/>
        </w:rPr>
        <w:t>provide</w:t>
      </w:r>
      <w:r w:rsidRPr="00351EF9">
        <w:rPr>
          <w:rFonts w:ascii="Times New Roman" w:hAnsi="Times New Roman"/>
          <w:color w:val="000000"/>
          <w:sz w:val="24"/>
          <w:szCs w:val="24"/>
        </w:rPr>
        <w:t xml:space="preserve"> one or more services to be considered for award.</w:t>
      </w:r>
    </w:p>
    <w:p w14:paraId="0821FA3B" w14:textId="77777777" w:rsidR="003D55DD" w:rsidRDefault="003D55DD" w:rsidP="00486543">
      <w:pPr>
        <w:widowControl/>
        <w:numPr>
          <w:ilvl w:val="0"/>
          <w:numId w:val="8"/>
        </w:numPr>
        <w:spacing w:before="100" w:beforeAutospacing="1" w:after="120"/>
        <w:ind w:left="0"/>
        <w:rPr>
          <w:snapToGrid/>
          <w:color w:val="000000"/>
        </w:rPr>
      </w:pPr>
      <w:r>
        <w:rPr>
          <w:color w:val="000000"/>
        </w:rPr>
        <w:t xml:space="preserve">Regarding subcontracting for services such as </w:t>
      </w:r>
      <w:r>
        <w:rPr>
          <w:b/>
          <w:bCs/>
          <w:color w:val="000000"/>
        </w:rPr>
        <w:t>Phase I and Phase II Environmental Site Assessments (ESAs)</w:t>
      </w:r>
      <w:r>
        <w:rPr>
          <w:color w:val="000000"/>
        </w:rPr>
        <w:t>: If this work is within the scope, will individual task orders for these activities be of a size that may frequently challenge the subcontractor spending limit of "</w:t>
      </w:r>
      <w:r>
        <w:rPr>
          <w:b/>
          <w:bCs/>
          <w:color w:val="000000"/>
        </w:rPr>
        <w:t>ten percent of the task not to exceed $35,000</w:t>
      </w:r>
      <w:r>
        <w:rPr>
          <w:color w:val="000000"/>
        </w:rPr>
        <w:t xml:space="preserve">" for subconsultants who do not hold a </w:t>
      </w:r>
      <w:proofErr w:type="gramStart"/>
      <w:r>
        <w:rPr>
          <w:color w:val="000000"/>
        </w:rPr>
        <w:t>County</w:t>
      </w:r>
      <w:proofErr w:type="gramEnd"/>
      <w:r>
        <w:rPr>
          <w:color w:val="000000"/>
        </w:rPr>
        <w:t xml:space="preserve"> contract?</w:t>
      </w:r>
    </w:p>
    <w:p w14:paraId="2223DDBF" w14:textId="43E8916E" w:rsidR="00DA4DE3" w:rsidRDefault="00B31202" w:rsidP="00486543">
      <w:pPr>
        <w:pStyle w:val="ListParagraph"/>
        <w:numPr>
          <w:ilvl w:val="1"/>
          <w:numId w:val="8"/>
        </w:numPr>
        <w:spacing w:after="120"/>
        <w:ind w:left="360"/>
        <w:jc w:val="both"/>
        <w:rPr>
          <w:rFonts w:ascii="Times New Roman" w:hAnsi="Times New Roman"/>
          <w:color w:val="000000"/>
          <w:sz w:val="24"/>
          <w:szCs w:val="24"/>
        </w:rPr>
      </w:pPr>
      <w:r>
        <w:rPr>
          <w:rFonts w:ascii="Times New Roman" w:hAnsi="Times New Roman"/>
          <w:color w:val="000000"/>
          <w:sz w:val="24"/>
          <w:szCs w:val="24"/>
        </w:rPr>
        <w:t xml:space="preserve">This is an on-call </w:t>
      </w:r>
      <w:r w:rsidR="00D92819">
        <w:rPr>
          <w:rFonts w:ascii="Times New Roman" w:hAnsi="Times New Roman"/>
          <w:color w:val="000000"/>
          <w:sz w:val="24"/>
          <w:szCs w:val="24"/>
        </w:rPr>
        <w:t xml:space="preserve">services </w:t>
      </w:r>
      <w:r>
        <w:rPr>
          <w:rFonts w:ascii="Times New Roman" w:hAnsi="Times New Roman"/>
          <w:color w:val="000000"/>
          <w:sz w:val="24"/>
          <w:szCs w:val="24"/>
        </w:rPr>
        <w:t>contract.  Services will be determined at the time of need.</w:t>
      </w:r>
    </w:p>
    <w:p w14:paraId="104A3D6F" w14:textId="77777777" w:rsidR="003D55DD" w:rsidRDefault="003D55DD" w:rsidP="00486543">
      <w:pPr>
        <w:widowControl/>
        <w:numPr>
          <w:ilvl w:val="0"/>
          <w:numId w:val="8"/>
        </w:numPr>
        <w:spacing w:before="100" w:beforeAutospacing="1" w:after="120"/>
        <w:ind w:left="0"/>
        <w:rPr>
          <w:snapToGrid/>
          <w:color w:val="000000"/>
        </w:rPr>
      </w:pPr>
      <w:r>
        <w:rPr>
          <w:color w:val="000000"/>
        </w:rPr>
        <w:t xml:space="preserve">Does the prime firm need to demonstrate expertise in </w:t>
      </w:r>
      <w:r>
        <w:rPr>
          <w:b/>
          <w:bCs/>
          <w:color w:val="000000"/>
        </w:rPr>
        <w:t>all</w:t>
      </w:r>
      <w:r>
        <w:rPr>
          <w:color w:val="000000"/>
        </w:rPr>
        <w:t xml:space="preserve"> aspects of the full scope of the work, or will a firm with a strong background in </w:t>
      </w:r>
      <w:r>
        <w:rPr>
          <w:i/>
          <w:iCs/>
          <w:color w:val="000000"/>
        </w:rPr>
        <w:t>most</w:t>
      </w:r>
      <w:r>
        <w:rPr>
          <w:color w:val="000000"/>
        </w:rPr>
        <w:t> of the primary areas still be highly considered for an on-call award?</w:t>
      </w:r>
    </w:p>
    <w:p w14:paraId="7011F271" w14:textId="404A77A1" w:rsidR="003D55DD" w:rsidRDefault="003D55DD" w:rsidP="00486543">
      <w:pPr>
        <w:pStyle w:val="ListParagraph"/>
        <w:numPr>
          <w:ilvl w:val="1"/>
          <w:numId w:val="8"/>
        </w:numPr>
        <w:tabs>
          <w:tab w:val="left" w:pos="900"/>
        </w:tabs>
        <w:spacing w:after="120"/>
        <w:ind w:left="360"/>
        <w:jc w:val="both"/>
        <w:rPr>
          <w:rFonts w:ascii="Times New Roman" w:hAnsi="Times New Roman"/>
          <w:color w:val="000000"/>
          <w:sz w:val="24"/>
          <w:szCs w:val="24"/>
        </w:rPr>
      </w:pPr>
      <w:r>
        <w:rPr>
          <w:rFonts w:ascii="Times New Roman" w:hAnsi="Times New Roman"/>
          <w:color w:val="000000"/>
          <w:sz w:val="24"/>
          <w:szCs w:val="24"/>
        </w:rPr>
        <w:t>Refer to Q1.</w:t>
      </w:r>
    </w:p>
    <w:p w14:paraId="3735833D" w14:textId="64508341" w:rsidR="003D55DD" w:rsidRDefault="003D55DD" w:rsidP="00486543">
      <w:pPr>
        <w:widowControl/>
        <w:spacing w:before="100" w:beforeAutospacing="1" w:after="120"/>
        <w:ind w:hanging="360"/>
        <w:rPr>
          <w:color w:val="000000"/>
        </w:rPr>
      </w:pPr>
      <w:r>
        <w:rPr>
          <w:color w:val="000000"/>
          <w:szCs w:val="24"/>
        </w:rPr>
        <w:t>Q4.</w:t>
      </w:r>
      <w:r w:rsidRPr="003D55DD">
        <w:rPr>
          <w:color w:val="000000"/>
        </w:rPr>
        <w:t xml:space="preserve"> </w:t>
      </w:r>
      <w:r>
        <w:rPr>
          <w:color w:val="000000"/>
        </w:rPr>
        <w:t xml:space="preserve">How many firms does the County anticipate awarding a </w:t>
      </w:r>
      <w:r w:rsidR="00B31202">
        <w:rPr>
          <w:color w:val="000000"/>
        </w:rPr>
        <w:t>contract</w:t>
      </w:r>
      <w:r>
        <w:rPr>
          <w:color w:val="000000"/>
        </w:rPr>
        <w:t xml:space="preserve"> under this on-call solicitation?</w:t>
      </w:r>
    </w:p>
    <w:p w14:paraId="103C06EB" w14:textId="4C200473" w:rsidR="003D55DD" w:rsidRDefault="003D55DD" w:rsidP="00486543">
      <w:pPr>
        <w:widowControl/>
        <w:spacing w:before="100" w:beforeAutospacing="1" w:after="120"/>
        <w:ind w:left="360" w:hanging="360"/>
        <w:rPr>
          <w:snapToGrid/>
          <w:color w:val="000000"/>
        </w:rPr>
      </w:pPr>
      <w:bookmarkStart w:id="0" w:name="_Hlk210116553"/>
      <w:r w:rsidRPr="00351EF9">
        <w:rPr>
          <w:b/>
          <w:bCs/>
          <w:color w:val="000000"/>
        </w:rPr>
        <w:t>A</w:t>
      </w:r>
      <w:r>
        <w:rPr>
          <w:color w:val="000000"/>
        </w:rPr>
        <w:t>.</w:t>
      </w:r>
      <w:r w:rsidR="002A60C2">
        <w:rPr>
          <w:color w:val="000000"/>
        </w:rPr>
        <w:tab/>
      </w:r>
      <w:r>
        <w:rPr>
          <w:color w:val="000000"/>
        </w:rPr>
        <w:t xml:space="preserve">Refer to </w:t>
      </w:r>
      <w:r w:rsidR="00D92819">
        <w:rPr>
          <w:color w:val="000000"/>
        </w:rPr>
        <w:t xml:space="preserve">Exhibit A – Scope of Work, Section 3.1.  </w:t>
      </w:r>
    </w:p>
    <w:bookmarkEnd w:id="0"/>
    <w:p w14:paraId="1AF87BFA" w14:textId="27892552" w:rsidR="003D55DD" w:rsidRDefault="003D55DD" w:rsidP="00486543">
      <w:pPr>
        <w:widowControl/>
        <w:spacing w:before="100" w:beforeAutospacing="1" w:after="120"/>
        <w:ind w:hanging="360"/>
        <w:rPr>
          <w:color w:val="000000"/>
        </w:rPr>
      </w:pPr>
      <w:r>
        <w:rPr>
          <w:color w:val="000000"/>
        </w:rPr>
        <w:t>Q5. What is the initial length (term) of the continuing contract?</w:t>
      </w:r>
    </w:p>
    <w:p w14:paraId="3FD92AA2" w14:textId="2AD9DA50" w:rsidR="003D55DD" w:rsidRDefault="003D55DD" w:rsidP="00486543">
      <w:pPr>
        <w:widowControl/>
        <w:spacing w:before="100" w:beforeAutospacing="1" w:after="120"/>
        <w:ind w:left="360" w:hanging="360"/>
        <w:rPr>
          <w:snapToGrid/>
          <w:color w:val="000000"/>
        </w:rPr>
      </w:pPr>
      <w:r w:rsidRPr="00351EF9">
        <w:rPr>
          <w:b/>
          <w:bCs/>
          <w:color w:val="000000"/>
        </w:rPr>
        <w:t>A</w:t>
      </w:r>
      <w:r>
        <w:rPr>
          <w:color w:val="000000"/>
        </w:rPr>
        <w:t>.</w:t>
      </w:r>
      <w:r w:rsidR="002A60C2">
        <w:rPr>
          <w:color w:val="000000"/>
        </w:rPr>
        <w:tab/>
      </w:r>
      <w:r>
        <w:rPr>
          <w:color w:val="000000"/>
        </w:rPr>
        <w:t>Refer to Attachment 1 – Submittal, Section 1 – Term of Contract.</w:t>
      </w:r>
    </w:p>
    <w:p w14:paraId="49B8DDDE" w14:textId="1743C14A" w:rsidR="003D55DD" w:rsidRDefault="003D55DD" w:rsidP="00486543">
      <w:pPr>
        <w:widowControl/>
        <w:spacing w:before="100" w:beforeAutospacing="1" w:after="120"/>
        <w:ind w:hanging="360"/>
        <w:rPr>
          <w:color w:val="000000"/>
        </w:rPr>
      </w:pPr>
      <w:r>
        <w:rPr>
          <w:color w:val="000000"/>
        </w:rPr>
        <w:t xml:space="preserve">Q6. Can a firm submit a proposal as a </w:t>
      </w:r>
      <w:r>
        <w:rPr>
          <w:b/>
          <w:bCs/>
          <w:color w:val="000000"/>
        </w:rPr>
        <w:t>prime consultant</w:t>
      </w:r>
      <w:r>
        <w:rPr>
          <w:color w:val="000000"/>
        </w:rPr>
        <w:t> </w:t>
      </w:r>
      <w:proofErr w:type="gramStart"/>
      <w:r>
        <w:rPr>
          <w:color w:val="000000"/>
        </w:rPr>
        <w:t>and also</w:t>
      </w:r>
      <w:proofErr w:type="gramEnd"/>
      <w:r>
        <w:rPr>
          <w:color w:val="000000"/>
        </w:rPr>
        <w:t xml:space="preserve"> be listed as a </w:t>
      </w:r>
      <w:r>
        <w:rPr>
          <w:b/>
          <w:bCs/>
          <w:color w:val="000000"/>
        </w:rPr>
        <w:t>subconsultant</w:t>
      </w:r>
      <w:r>
        <w:rPr>
          <w:color w:val="000000"/>
        </w:rPr>
        <w:t> on another prime firm's submission?</w:t>
      </w:r>
    </w:p>
    <w:p w14:paraId="5B07AC1A" w14:textId="04F825D2" w:rsidR="002A60C2" w:rsidRPr="002A60C2" w:rsidRDefault="002A60C2" w:rsidP="00486543">
      <w:pPr>
        <w:widowControl/>
        <w:spacing w:before="100" w:beforeAutospacing="1" w:after="120"/>
        <w:ind w:left="360" w:hanging="360"/>
        <w:rPr>
          <w:color w:val="000000"/>
        </w:rPr>
      </w:pPr>
      <w:r w:rsidRPr="00351EF9">
        <w:rPr>
          <w:b/>
          <w:bCs/>
          <w:color w:val="000000"/>
        </w:rPr>
        <w:t>A</w:t>
      </w:r>
      <w:r w:rsidRPr="002A60C2">
        <w:rPr>
          <w:color w:val="000000"/>
        </w:rPr>
        <w:t xml:space="preserve">. </w:t>
      </w:r>
      <w:r>
        <w:rPr>
          <w:color w:val="000000"/>
        </w:rPr>
        <w:t>Yes</w:t>
      </w:r>
      <w:r w:rsidRPr="002A60C2">
        <w:rPr>
          <w:spacing w:val="2"/>
        </w:rPr>
        <w:t xml:space="preserve">, a firm can submit a proposal as a prime consultant </w:t>
      </w:r>
      <w:proofErr w:type="gramStart"/>
      <w:r w:rsidRPr="002A60C2">
        <w:rPr>
          <w:spacing w:val="2"/>
        </w:rPr>
        <w:t>and also</w:t>
      </w:r>
      <w:proofErr w:type="gramEnd"/>
      <w:r w:rsidRPr="002A60C2">
        <w:rPr>
          <w:spacing w:val="2"/>
        </w:rPr>
        <w:t xml:space="preserve"> be listed as a subconsultant on another prime firm's submission.  However</w:t>
      </w:r>
      <w:r>
        <w:rPr>
          <w:spacing w:val="2"/>
        </w:rPr>
        <w:t>,</w:t>
      </w:r>
      <w:r w:rsidRPr="002A60C2">
        <w:rPr>
          <w:spacing w:val="2"/>
        </w:rPr>
        <w:t xml:space="preserve"> </w:t>
      </w:r>
      <w:r>
        <w:rPr>
          <w:spacing w:val="2"/>
        </w:rPr>
        <w:t>all subcontractors used by a firm must be listed on Attachment 3 – Team Composition to maintain transparency</w:t>
      </w:r>
      <w:r w:rsidRPr="002A60C2">
        <w:rPr>
          <w:spacing w:val="2"/>
        </w:rPr>
        <w:t xml:space="preserve">. </w:t>
      </w:r>
    </w:p>
    <w:p w14:paraId="54246264" w14:textId="7D18A65E" w:rsidR="003D55DD" w:rsidRDefault="003D55DD" w:rsidP="00486543">
      <w:pPr>
        <w:widowControl/>
        <w:spacing w:before="100" w:beforeAutospacing="1" w:after="120"/>
        <w:ind w:hanging="360"/>
        <w:rPr>
          <w:color w:val="000000"/>
        </w:rPr>
      </w:pPr>
      <w:r>
        <w:rPr>
          <w:color w:val="000000"/>
        </w:rPr>
        <w:lastRenderedPageBreak/>
        <w:t>Q7. Please provide a list of the current incumbent vendors, if any, for the expiring Environmental Studies and Assessments on-call contract.</w:t>
      </w:r>
    </w:p>
    <w:p w14:paraId="2F2C731E" w14:textId="1D549C42" w:rsidR="002A60C2" w:rsidRDefault="002A60C2" w:rsidP="00486543">
      <w:pPr>
        <w:widowControl/>
        <w:spacing w:before="100" w:beforeAutospacing="1" w:after="120"/>
        <w:ind w:left="360" w:hanging="360"/>
        <w:rPr>
          <w:color w:val="000000"/>
        </w:rPr>
      </w:pPr>
      <w:r w:rsidRPr="00351EF9">
        <w:rPr>
          <w:b/>
          <w:bCs/>
          <w:color w:val="000000"/>
        </w:rPr>
        <w:t>A</w:t>
      </w:r>
      <w:r>
        <w:rPr>
          <w:color w:val="000000"/>
        </w:rPr>
        <w:t>.</w:t>
      </w:r>
      <w:r>
        <w:rPr>
          <w:color w:val="000000"/>
        </w:rPr>
        <w:tab/>
        <w:t xml:space="preserve">Current contracts may be reviewed by visiting our Term and Supply Website at the following link: </w:t>
      </w:r>
      <w:hyperlink r:id="rId11" w:history="1">
        <w:r w:rsidRPr="002A60C2">
          <w:rPr>
            <w:color w:val="0000FF"/>
            <w:u w:val="single"/>
          </w:rPr>
          <w:t>Term and Supply Listing - Office of Procurement Services</w:t>
        </w:r>
      </w:hyperlink>
    </w:p>
    <w:p w14:paraId="586189F6" w14:textId="77777777" w:rsidR="00672B29" w:rsidRDefault="00672B29" w:rsidP="00486543">
      <w:pPr>
        <w:spacing w:after="120"/>
        <w:ind w:left="-360"/>
        <w:rPr>
          <w:snapToGrid/>
        </w:rPr>
      </w:pPr>
      <w:r>
        <w:rPr>
          <w:color w:val="000000"/>
          <w:szCs w:val="24"/>
        </w:rPr>
        <w:t>Q8.</w:t>
      </w:r>
      <w:r>
        <w:rPr>
          <w:color w:val="000000"/>
          <w:szCs w:val="24"/>
        </w:rPr>
        <w:tab/>
      </w:r>
      <w:r>
        <w:t>This is a public records request for your current bid 25-747.</w:t>
      </w:r>
    </w:p>
    <w:p w14:paraId="30F6796F" w14:textId="77777777" w:rsidR="00672B29" w:rsidRDefault="00672B29" w:rsidP="00486543">
      <w:pPr>
        <w:spacing w:after="120"/>
        <w:rPr>
          <w:i/>
          <w:iCs/>
        </w:rPr>
      </w:pPr>
      <w:r>
        <w:rPr>
          <w:i/>
          <w:iCs/>
        </w:rPr>
        <w:t>Requesting copies of the winning submittals and scoring sheets for RSQ 21-0901 Environmental Studies and Assessments.</w:t>
      </w:r>
    </w:p>
    <w:p w14:paraId="419C59A5" w14:textId="082CEDEF" w:rsidR="00672B29" w:rsidRDefault="00672B29" w:rsidP="00486543">
      <w:pPr>
        <w:spacing w:after="120"/>
        <w:ind w:left="360" w:hanging="360"/>
        <w:rPr>
          <w:snapToGrid/>
        </w:rPr>
      </w:pPr>
      <w:r>
        <w:t>A.</w:t>
      </w:r>
      <w:r w:rsidR="00983809">
        <w:tab/>
      </w:r>
      <w:r>
        <w:t xml:space="preserve">Documents may be viewed at the following link </w:t>
      </w:r>
      <w:hyperlink r:id="rId12" w:history="1">
        <w:r>
          <w:rPr>
            <w:noProof/>
            <w:color w:val="0000FF"/>
            <w:shd w:val="clear" w:color="auto" w:fill="F3F2F1"/>
          </w:rPr>
          <w:drawing>
            <wp:inline distT="0" distB="0" distL="0" distR="0" wp14:anchorId="589E07C1" wp14:editId="27DD2EC3">
              <wp:extent cx="152400" cy="152400"/>
              <wp:effectExtent l="0" t="0" r="0" b="0"/>
              <wp:docPr id="1529691456" name="Picture 1" descr="​Fold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der icon"/>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SmartLink"/>
          </w:rPr>
          <w:t> 21-0901 Environmental Studies</w:t>
        </w:r>
      </w:hyperlink>
      <w:r>
        <w:t xml:space="preserve">  </w:t>
      </w:r>
    </w:p>
    <w:p w14:paraId="55EE7502" w14:textId="77777777" w:rsidR="00AD455A" w:rsidRDefault="00AD455A" w:rsidP="00486543">
      <w:pPr>
        <w:widowControl/>
        <w:spacing w:before="100" w:beforeAutospacing="1" w:after="120"/>
        <w:ind w:hanging="360"/>
        <w:rPr>
          <w:snapToGrid/>
          <w:color w:val="000000"/>
          <w:sz w:val="22"/>
          <w:szCs w:val="22"/>
        </w:rPr>
      </w:pPr>
      <w:r>
        <w:t>Q9.</w:t>
      </w:r>
      <w:r>
        <w:tab/>
      </w:r>
      <w:r>
        <w:rPr>
          <w:color w:val="000000"/>
          <w:sz w:val="22"/>
          <w:szCs w:val="22"/>
        </w:rPr>
        <w:t>On page 2 of the RSQ package, section 2.0 Exhibits – Exhibit C, the County has updated the indemnification language to include a clause that states the Consultant will indemnify the County for defects in design, or errors or omissions that result in material cost increases to the County. The limitation of liability within statute 725.08 does not include this requirement and therefore makes this indemnification noncompliant with the Florida Statue 725.</w:t>
      </w:r>
      <w:proofErr w:type="gramStart"/>
      <w:r>
        <w:rPr>
          <w:color w:val="000000"/>
          <w:sz w:val="22"/>
          <w:szCs w:val="22"/>
        </w:rPr>
        <w:t>08.Would</w:t>
      </w:r>
      <w:proofErr w:type="gramEnd"/>
      <w:r>
        <w:rPr>
          <w:color w:val="000000"/>
          <w:sz w:val="22"/>
          <w:szCs w:val="22"/>
        </w:rPr>
        <w:t xml:space="preserve"> the County please make all indemnification requirements within this RSQ compliant with the Florida Statute 725.08? We suggest the following </w:t>
      </w:r>
      <w:proofErr w:type="gramStart"/>
      <w:r>
        <w:rPr>
          <w:color w:val="000000"/>
          <w:sz w:val="22"/>
          <w:szCs w:val="22"/>
        </w:rPr>
        <w:t>language</w:t>
      </w:r>
      <w:proofErr w:type="gramEnd"/>
      <w:r>
        <w:rPr>
          <w:color w:val="000000"/>
          <w:sz w:val="22"/>
          <w:szCs w:val="22"/>
        </w:rPr>
        <w:t xml:space="preserve"> which is directly from the Florida Statute 725.08 Design professional </w:t>
      </w:r>
      <w:proofErr w:type="gramStart"/>
      <w:r>
        <w:rPr>
          <w:color w:val="000000"/>
          <w:sz w:val="22"/>
          <w:szCs w:val="22"/>
        </w:rPr>
        <w:t>contracts;</w:t>
      </w:r>
      <w:proofErr w:type="gramEnd"/>
      <w:r>
        <w:rPr>
          <w:color w:val="000000"/>
          <w:sz w:val="22"/>
          <w:szCs w:val="22"/>
        </w:rPr>
        <w:t xml:space="preserve"> limitation in indemnification. “The design professional shall indemnify and hold harmless the agency, and its officers and employees, from liabilities, damages, losses, and costs, including, but not limited to, reasonable attorneys’ fees, to the extent caused by the negligence, recklessness, or intentionally wrongful conduct of the design professional and other persons employed or utilized by the design professional in the performance of the contract.”</w:t>
      </w:r>
    </w:p>
    <w:p w14:paraId="380BA325" w14:textId="30258173" w:rsidR="00AD455A" w:rsidRDefault="00AD455A" w:rsidP="00486543">
      <w:pPr>
        <w:spacing w:before="100" w:beforeAutospacing="1" w:after="120"/>
        <w:ind w:left="360" w:hanging="360"/>
        <w:rPr>
          <w:color w:val="000000"/>
          <w:sz w:val="22"/>
          <w:szCs w:val="22"/>
        </w:rPr>
      </w:pPr>
      <w:r>
        <w:rPr>
          <w:color w:val="000000"/>
          <w:sz w:val="22"/>
          <w:szCs w:val="22"/>
        </w:rPr>
        <w:t>A.</w:t>
      </w:r>
      <w:r>
        <w:rPr>
          <w:color w:val="000000"/>
          <w:sz w:val="22"/>
          <w:szCs w:val="22"/>
        </w:rPr>
        <w:tab/>
      </w:r>
      <w:bookmarkStart w:id="1" w:name="_Hlk210734486"/>
      <w:r w:rsidR="00DE6A8E" w:rsidRPr="00357B7B">
        <w:t>The County acknowledges the indemnification language in Section 2.0, Exhibit C. As Florida Statute 725.08 applies to design professional contracts and Florida Statute 768.28 governs sovereign immunity for governmental entities, the indemnification provisions in this RSQ will remain as stated in the bid documents.</w:t>
      </w:r>
    </w:p>
    <w:bookmarkEnd w:id="1"/>
    <w:p w14:paraId="317E9EFB" w14:textId="43662504" w:rsidR="00AD455A" w:rsidRDefault="00AD455A" w:rsidP="00486543">
      <w:pPr>
        <w:widowControl/>
        <w:spacing w:before="100" w:beforeAutospacing="1" w:after="120"/>
        <w:ind w:hanging="360"/>
        <w:rPr>
          <w:color w:val="000000"/>
          <w:sz w:val="22"/>
          <w:szCs w:val="22"/>
        </w:rPr>
      </w:pPr>
      <w:r>
        <w:rPr>
          <w:color w:val="000000"/>
          <w:sz w:val="22"/>
          <w:szCs w:val="22"/>
        </w:rPr>
        <w:t xml:space="preserve">Q10.Would the County please remove the "Warranty" and "Deficiencies in Work to be Corrected by the Contractor" provisions on page 5 of Exhibit C? We believe those sections are not applicable to the services provided by design professionals. Design professionals providing professional services, unlike contractors who provide materials and goods, cannot warrant or guarantee their services as part of a contract, other than to warrant that the services will be conducted </w:t>
      </w:r>
      <w:proofErr w:type="gramStart"/>
      <w:r>
        <w:rPr>
          <w:color w:val="000000"/>
          <w:sz w:val="22"/>
          <w:szCs w:val="22"/>
        </w:rPr>
        <w:t>per</w:t>
      </w:r>
      <w:proofErr w:type="gramEnd"/>
      <w:r>
        <w:rPr>
          <w:color w:val="000000"/>
          <w:sz w:val="22"/>
          <w:szCs w:val="22"/>
        </w:rPr>
        <w:t xml:space="preserve"> the professional standard of care.</w:t>
      </w:r>
    </w:p>
    <w:p w14:paraId="55FA014D" w14:textId="3189952E" w:rsidR="00AD455A" w:rsidRPr="000053DE" w:rsidRDefault="00AD455A" w:rsidP="00486543">
      <w:pPr>
        <w:pStyle w:val="my-0"/>
        <w:spacing w:before="0" w:beforeAutospacing="0" w:after="120" w:afterAutospacing="0"/>
        <w:ind w:left="360" w:hanging="360"/>
      </w:pPr>
      <w:r>
        <w:t xml:space="preserve">A. </w:t>
      </w:r>
      <w:bookmarkStart w:id="2" w:name="_Hlk210734517"/>
      <w:r>
        <w:t>This is a standard contract provision and does not impose obligations beyond those required by applicable professional standards.</w:t>
      </w:r>
      <w:r w:rsidR="00D92819">
        <w:t xml:space="preserve">  </w:t>
      </w:r>
    </w:p>
    <w:bookmarkEnd w:id="2"/>
    <w:p w14:paraId="2F3D4D78" w14:textId="0FCFB6CF" w:rsidR="00AD455A" w:rsidRDefault="00AD455A" w:rsidP="00486543">
      <w:pPr>
        <w:widowControl/>
        <w:spacing w:before="100" w:beforeAutospacing="1" w:after="120"/>
        <w:ind w:hanging="360"/>
        <w:rPr>
          <w:color w:val="000000"/>
          <w:sz w:val="22"/>
          <w:szCs w:val="22"/>
        </w:rPr>
      </w:pPr>
      <w:r>
        <w:rPr>
          <w:color w:val="000000"/>
          <w:sz w:val="22"/>
          <w:szCs w:val="22"/>
        </w:rPr>
        <w:t>Q11. Would the County please remove the "Safety", “Clean-Up”, and “Protection of Property” provisions on pages 7 and 8 of Exhibit C? We believe those sections are not applicable to the services provided by design professionals. Design professionals providing professional services, unlike contractors who provide materials and goods and services on the project site, cannot be responsible for their safety, means, methods and or site conditions.</w:t>
      </w:r>
    </w:p>
    <w:p w14:paraId="4F41675E" w14:textId="34CA3EE8" w:rsidR="00983809" w:rsidRDefault="00AD455A" w:rsidP="00486543">
      <w:pPr>
        <w:pStyle w:val="my-0"/>
        <w:spacing w:before="0" w:beforeAutospacing="0" w:after="120" w:afterAutospacing="0"/>
        <w:ind w:left="360" w:hanging="360"/>
      </w:pPr>
      <w:r>
        <w:t>A. This is a standard contract provision and does not impose obligations beyond those required by applicable professional standards.</w:t>
      </w:r>
    </w:p>
    <w:p w14:paraId="410A3809" w14:textId="07B76EBA" w:rsidR="00983809" w:rsidRDefault="00983809" w:rsidP="00486543">
      <w:pPr>
        <w:pStyle w:val="my-0"/>
        <w:spacing w:before="0" w:beforeAutospacing="0" w:after="120" w:afterAutospacing="0"/>
        <w:ind w:hanging="360"/>
        <w:rPr>
          <w:color w:val="000000"/>
        </w:rPr>
      </w:pPr>
      <w:r w:rsidRPr="00983809">
        <w:t xml:space="preserve">Q12. </w:t>
      </w:r>
      <w:r w:rsidRPr="00983809">
        <w:rPr>
          <w:color w:val="000000"/>
        </w:rPr>
        <w:t>Who currently holds the contract?</w:t>
      </w:r>
    </w:p>
    <w:p w14:paraId="27A0576D" w14:textId="3AE57687" w:rsidR="00983809" w:rsidRPr="00983809" w:rsidRDefault="00983809" w:rsidP="00486543">
      <w:pPr>
        <w:pStyle w:val="my-0"/>
        <w:spacing w:before="0" w:beforeAutospacing="0" w:after="120" w:afterAutospacing="0"/>
        <w:ind w:left="360" w:hanging="360"/>
      </w:pPr>
      <w:r>
        <w:rPr>
          <w:color w:val="000000"/>
        </w:rPr>
        <w:t>A.</w:t>
      </w:r>
      <w:r>
        <w:rPr>
          <w:color w:val="000000"/>
        </w:rPr>
        <w:tab/>
        <w:t>Refer to Q7 and Q8</w:t>
      </w:r>
      <w:r w:rsidR="00486543">
        <w:rPr>
          <w:color w:val="000000"/>
        </w:rPr>
        <w:t>.</w:t>
      </w:r>
    </w:p>
    <w:p w14:paraId="4014899C" w14:textId="231F8BE5" w:rsidR="00983809" w:rsidRDefault="00983809" w:rsidP="00486543">
      <w:pPr>
        <w:widowControl/>
        <w:shd w:val="clear" w:color="auto" w:fill="FFFFFF"/>
        <w:spacing w:after="120"/>
        <w:ind w:hanging="360"/>
        <w:rPr>
          <w:color w:val="000000"/>
          <w:szCs w:val="24"/>
        </w:rPr>
      </w:pPr>
      <w:r w:rsidRPr="00983809">
        <w:rPr>
          <w:color w:val="000000"/>
          <w:szCs w:val="24"/>
        </w:rPr>
        <w:t>Q13. How many firms will be selected for the current contract?</w:t>
      </w:r>
    </w:p>
    <w:p w14:paraId="087F51D1" w14:textId="71DF3290" w:rsidR="000A38BB" w:rsidRPr="00983809" w:rsidRDefault="00983809" w:rsidP="00486543">
      <w:pPr>
        <w:widowControl/>
        <w:shd w:val="clear" w:color="auto" w:fill="FFFFFF"/>
        <w:spacing w:after="120"/>
        <w:ind w:left="360" w:hanging="360"/>
        <w:rPr>
          <w:color w:val="000000"/>
          <w:szCs w:val="24"/>
        </w:rPr>
      </w:pPr>
      <w:r>
        <w:rPr>
          <w:color w:val="000000"/>
          <w:szCs w:val="24"/>
        </w:rPr>
        <w:t>A.</w:t>
      </w:r>
      <w:r>
        <w:rPr>
          <w:color w:val="000000"/>
          <w:szCs w:val="24"/>
        </w:rPr>
        <w:tab/>
      </w:r>
      <w:r w:rsidR="000A38BB">
        <w:rPr>
          <w:color w:val="000000"/>
          <w:szCs w:val="24"/>
        </w:rPr>
        <w:t>Refer to Q4.</w:t>
      </w:r>
    </w:p>
    <w:p w14:paraId="6EF0056D" w14:textId="0C469E1F" w:rsidR="00983809" w:rsidRDefault="00983809" w:rsidP="00486543">
      <w:pPr>
        <w:widowControl/>
        <w:shd w:val="clear" w:color="auto" w:fill="FFFFFF"/>
        <w:spacing w:after="120"/>
        <w:ind w:hanging="360"/>
        <w:rPr>
          <w:color w:val="000000"/>
          <w:szCs w:val="24"/>
        </w:rPr>
      </w:pPr>
      <w:r w:rsidRPr="00983809">
        <w:rPr>
          <w:color w:val="000000"/>
          <w:szCs w:val="24"/>
        </w:rPr>
        <w:t>Q14. What is the anticipated annual volume of projects under this contract?</w:t>
      </w:r>
    </w:p>
    <w:p w14:paraId="6738923E" w14:textId="4DDC08BC" w:rsidR="000A38BB" w:rsidRPr="00983809" w:rsidRDefault="000A38BB" w:rsidP="00486543">
      <w:pPr>
        <w:widowControl/>
        <w:shd w:val="clear" w:color="auto" w:fill="FFFFFF"/>
        <w:spacing w:after="120"/>
        <w:ind w:left="360" w:hanging="360"/>
        <w:rPr>
          <w:color w:val="000000"/>
          <w:szCs w:val="24"/>
        </w:rPr>
      </w:pPr>
      <w:r>
        <w:rPr>
          <w:color w:val="000000"/>
          <w:szCs w:val="24"/>
        </w:rPr>
        <w:lastRenderedPageBreak/>
        <w:t>A.</w:t>
      </w:r>
      <w:r>
        <w:rPr>
          <w:color w:val="000000"/>
          <w:szCs w:val="24"/>
        </w:rPr>
        <w:tab/>
      </w:r>
      <w:r w:rsidR="00486543">
        <w:rPr>
          <w:color w:val="000000"/>
          <w:szCs w:val="24"/>
        </w:rPr>
        <w:t xml:space="preserve">Refer to Exhibit A – Scope of Work, paragraph 2.  </w:t>
      </w:r>
    </w:p>
    <w:p w14:paraId="30FD72BC" w14:textId="3E6166EE" w:rsidR="00AD455A" w:rsidRDefault="00983809" w:rsidP="00486543">
      <w:pPr>
        <w:widowControl/>
        <w:spacing w:before="100" w:beforeAutospacing="1" w:after="120"/>
        <w:ind w:hanging="360"/>
        <w:rPr>
          <w:color w:val="000000"/>
          <w:szCs w:val="24"/>
        </w:rPr>
      </w:pPr>
      <w:r w:rsidRPr="00983809">
        <w:rPr>
          <w:color w:val="000000"/>
          <w:szCs w:val="24"/>
        </w:rPr>
        <w:t xml:space="preserve">Q15. Can </w:t>
      </w:r>
      <w:r w:rsidR="000A38BB" w:rsidRPr="00983809">
        <w:rPr>
          <w:color w:val="000000"/>
          <w:szCs w:val="24"/>
        </w:rPr>
        <w:t>there</w:t>
      </w:r>
      <w:r w:rsidRPr="00983809">
        <w:rPr>
          <w:color w:val="000000"/>
          <w:szCs w:val="24"/>
        </w:rPr>
        <w:t xml:space="preserve"> be modifications to the terms and conditions </w:t>
      </w:r>
      <w:proofErr w:type="gramStart"/>
      <w:r w:rsidRPr="00983809">
        <w:rPr>
          <w:color w:val="000000"/>
          <w:szCs w:val="24"/>
        </w:rPr>
        <w:t>to</w:t>
      </w:r>
      <w:proofErr w:type="gramEnd"/>
      <w:r w:rsidRPr="00983809">
        <w:rPr>
          <w:color w:val="000000"/>
          <w:szCs w:val="24"/>
        </w:rPr>
        <w:t xml:space="preserve"> the contract (i.e., the indemnity and insurance requirements)?</w:t>
      </w:r>
    </w:p>
    <w:p w14:paraId="244AAA18" w14:textId="3268E611" w:rsidR="000A38BB" w:rsidRPr="00983809" w:rsidRDefault="000A38BB" w:rsidP="00486543">
      <w:pPr>
        <w:widowControl/>
        <w:spacing w:before="100" w:beforeAutospacing="1" w:after="120"/>
        <w:ind w:left="360" w:hanging="360"/>
        <w:rPr>
          <w:color w:val="000000"/>
          <w:szCs w:val="24"/>
        </w:rPr>
      </w:pPr>
      <w:r>
        <w:rPr>
          <w:color w:val="000000"/>
          <w:szCs w:val="24"/>
        </w:rPr>
        <w:t>A.</w:t>
      </w:r>
      <w:r>
        <w:rPr>
          <w:color w:val="000000"/>
          <w:szCs w:val="24"/>
        </w:rPr>
        <w:tab/>
        <w:t>Refer to Q9 through Q11.  Insurance requirements cannot be changed.</w:t>
      </w:r>
    </w:p>
    <w:p w14:paraId="2107409E" w14:textId="5DD1D04E" w:rsidR="00AD455A" w:rsidRPr="00672B29" w:rsidRDefault="00AD455A" w:rsidP="00672B29">
      <w:pPr>
        <w:ind w:left="360" w:hanging="360"/>
      </w:pP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49FC45D8" w:rsidR="00EA1F05" w:rsidRPr="00EA1F05" w:rsidRDefault="00C228F2" w:rsidP="00EA1F05">
      <w:pPr>
        <w:pBdr>
          <w:bottom w:val="single" w:sz="6" w:space="1" w:color="auto"/>
        </w:pBdr>
        <w:spacing w:after="120"/>
      </w:pPr>
      <w:r>
        <w:t>EXHIBIT F – SAMPLE CONTRACT is hereby incorporated and made part of this Solicitation.</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5"/>
      <w:footerReference w:type="default" r:id="rId16"/>
      <w:headerReference w:type="first" r:id="rId17"/>
      <w:footerReference w:type="first" r:id="rId18"/>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1D7402A8" w:rsidR="0069382C" w:rsidRPr="00EA1F05" w:rsidRDefault="0069382C" w:rsidP="0069382C">
    <w:pPr>
      <w:pStyle w:val="Header"/>
      <w:tabs>
        <w:tab w:val="clear" w:pos="8640"/>
        <w:tab w:val="right" w:pos="9900"/>
      </w:tabs>
      <w:rPr>
        <w:b/>
        <w:bCs/>
      </w:rPr>
    </w:pPr>
    <w:r w:rsidRPr="00EA1F05">
      <w:rPr>
        <w:b/>
        <w:bCs/>
      </w:rPr>
      <w:t xml:space="preserve">ADDENDUM NO. </w:t>
    </w:r>
    <w:r w:rsidRPr="00697A81">
      <w:rPr>
        <w:b/>
        <w:bCs/>
      </w:rPr>
      <w:t>#</w:t>
    </w:r>
    <w:r w:rsidR="00697A81" w:rsidRPr="00697A81">
      <w:rPr>
        <w:b/>
        <w:bCs/>
      </w:rPr>
      <w:t>1</w:t>
    </w:r>
    <w:r w:rsidRPr="00EA1F05">
      <w:rPr>
        <w:b/>
        <w:bCs/>
      </w:rPr>
      <w:tab/>
    </w:r>
    <w:r w:rsidRPr="00EA1F05">
      <w:rPr>
        <w:b/>
        <w:bCs/>
      </w:rPr>
      <w:tab/>
    </w:r>
    <w:r w:rsidR="00EA1F05" w:rsidRPr="00EA1F05">
      <w:rPr>
        <w:b/>
        <w:bCs/>
      </w:rPr>
      <w:t>2</w:t>
    </w:r>
    <w:r w:rsidR="00DA4DE3">
      <w:rPr>
        <w:b/>
        <w:bCs/>
      </w:rPr>
      <w:t>5</w:t>
    </w:r>
    <w:r w:rsidR="00EA1F05" w:rsidRPr="00EA1F05">
      <w:rPr>
        <w:b/>
        <w:bCs/>
      </w:rPr>
      <w:t>-</w:t>
    </w:r>
    <w:r w:rsidR="00697A81">
      <w:rPr>
        <w:b/>
        <w:bCs/>
      </w:rPr>
      <w:t>747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87BE0"/>
    <w:multiLevelType w:val="multilevel"/>
    <w:tmpl w:val="3F0E6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3453B"/>
    <w:multiLevelType w:val="multilevel"/>
    <w:tmpl w:val="3AD8FF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D67969"/>
    <w:multiLevelType w:val="multilevel"/>
    <w:tmpl w:val="0CB4C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501B55"/>
    <w:multiLevelType w:val="multilevel"/>
    <w:tmpl w:val="DD743F26"/>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b/>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6A7F4D0C"/>
    <w:multiLevelType w:val="multilevel"/>
    <w:tmpl w:val="103888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2"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2"/>
  </w:num>
  <w:num w:numId="2" w16cid:durableId="19864184">
    <w:abstractNumId w:val="11"/>
  </w:num>
  <w:num w:numId="3" w16cid:durableId="1569223518">
    <w:abstractNumId w:val="10"/>
  </w:num>
  <w:num w:numId="4" w16cid:durableId="584000639">
    <w:abstractNumId w:val="12"/>
  </w:num>
  <w:num w:numId="5" w16cid:durableId="489567764">
    <w:abstractNumId w:val="4"/>
  </w:num>
  <w:num w:numId="6" w16cid:durableId="445973893">
    <w:abstractNumId w:val="7"/>
  </w:num>
  <w:num w:numId="7" w16cid:durableId="1036589449">
    <w:abstractNumId w:val="6"/>
  </w:num>
  <w:num w:numId="8" w16cid:durableId="767965953">
    <w:abstractNumId w:val="8"/>
  </w:num>
  <w:num w:numId="9" w16cid:durableId="1435591811">
    <w:abstractNumId w:val="5"/>
  </w:num>
  <w:num w:numId="10" w16cid:durableId="12120388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29737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304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74285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HBllCaZE/eaAjj9iW2cZ0ywiayhfSkTiB4Bqg4sUvsGeEStSZgi8dKaFqH0Wrp8ClF5ePFPfatiY4Tg1IrmpUQ==" w:salt="m2VQCKGkNG7WkrpV6fCph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8BB"/>
    <w:rsid w:val="000A3D94"/>
    <w:rsid w:val="000A49A7"/>
    <w:rsid w:val="000A4CAB"/>
    <w:rsid w:val="000A52EB"/>
    <w:rsid w:val="000A7862"/>
    <w:rsid w:val="000D04A1"/>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60D7"/>
    <w:rsid w:val="002536F8"/>
    <w:rsid w:val="0025668B"/>
    <w:rsid w:val="00271D07"/>
    <w:rsid w:val="002735DD"/>
    <w:rsid w:val="0027455F"/>
    <w:rsid w:val="002763BF"/>
    <w:rsid w:val="002815E8"/>
    <w:rsid w:val="002A60C2"/>
    <w:rsid w:val="002B2528"/>
    <w:rsid w:val="002D369E"/>
    <w:rsid w:val="002D4C1C"/>
    <w:rsid w:val="002E2E2C"/>
    <w:rsid w:val="002F1E83"/>
    <w:rsid w:val="002F3B18"/>
    <w:rsid w:val="003016A9"/>
    <w:rsid w:val="00330218"/>
    <w:rsid w:val="00345D8F"/>
    <w:rsid w:val="00347217"/>
    <w:rsid w:val="0034755A"/>
    <w:rsid w:val="00351EF9"/>
    <w:rsid w:val="00362BF4"/>
    <w:rsid w:val="0036641A"/>
    <w:rsid w:val="00385A10"/>
    <w:rsid w:val="0038787D"/>
    <w:rsid w:val="003A18D7"/>
    <w:rsid w:val="003A632F"/>
    <w:rsid w:val="003A7DCC"/>
    <w:rsid w:val="003B5832"/>
    <w:rsid w:val="003D55DD"/>
    <w:rsid w:val="003F09B1"/>
    <w:rsid w:val="003F206F"/>
    <w:rsid w:val="003F2FBF"/>
    <w:rsid w:val="003F6E82"/>
    <w:rsid w:val="003F7609"/>
    <w:rsid w:val="00402147"/>
    <w:rsid w:val="004044A4"/>
    <w:rsid w:val="004131A7"/>
    <w:rsid w:val="00426BCD"/>
    <w:rsid w:val="004608E6"/>
    <w:rsid w:val="00464CAE"/>
    <w:rsid w:val="0048032D"/>
    <w:rsid w:val="00486543"/>
    <w:rsid w:val="004B1918"/>
    <w:rsid w:val="004C3C70"/>
    <w:rsid w:val="004E3EE4"/>
    <w:rsid w:val="0050375E"/>
    <w:rsid w:val="005055D3"/>
    <w:rsid w:val="00517FFC"/>
    <w:rsid w:val="00523D30"/>
    <w:rsid w:val="00525414"/>
    <w:rsid w:val="00525FD8"/>
    <w:rsid w:val="0052661D"/>
    <w:rsid w:val="0057065C"/>
    <w:rsid w:val="005707DB"/>
    <w:rsid w:val="005A349D"/>
    <w:rsid w:val="005B37C1"/>
    <w:rsid w:val="005C43BF"/>
    <w:rsid w:val="005D2AC0"/>
    <w:rsid w:val="005D3CB7"/>
    <w:rsid w:val="00603ED8"/>
    <w:rsid w:val="00605C06"/>
    <w:rsid w:val="0061414A"/>
    <w:rsid w:val="006169CC"/>
    <w:rsid w:val="0064276A"/>
    <w:rsid w:val="00653049"/>
    <w:rsid w:val="006564E6"/>
    <w:rsid w:val="00660CA2"/>
    <w:rsid w:val="006725EC"/>
    <w:rsid w:val="00672B29"/>
    <w:rsid w:val="0069382C"/>
    <w:rsid w:val="00697A81"/>
    <w:rsid w:val="006B30AF"/>
    <w:rsid w:val="006D745E"/>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5CF4"/>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83809"/>
    <w:rsid w:val="00992C79"/>
    <w:rsid w:val="00997447"/>
    <w:rsid w:val="009A5699"/>
    <w:rsid w:val="009A68A8"/>
    <w:rsid w:val="009D2D83"/>
    <w:rsid w:val="009D4917"/>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55A"/>
    <w:rsid w:val="00AD4A23"/>
    <w:rsid w:val="00AE7A18"/>
    <w:rsid w:val="00B06370"/>
    <w:rsid w:val="00B07A7F"/>
    <w:rsid w:val="00B307AF"/>
    <w:rsid w:val="00B31202"/>
    <w:rsid w:val="00B60E88"/>
    <w:rsid w:val="00B64F84"/>
    <w:rsid w:val="00B70B00"/>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228F2"/>
    <w:rsid w:val="00C3031B"/>
    <w:rsid w:val="00C518D9"/>
    <w:rsid w:val="00C5202C"/>
    <w:rsid w:val="00C523CA"/>
    <w:rsid w:val="00C54BBE"/>
    <w:rsid w:val="00C65E0D"/>
    <w:rsid w:val="00C66A0C"/>
    <w:rsid w:val="00C73171"/>
    <w:rsid w:val="00C83188"/>
    <w:rsid w:val="00C95E9D"/>
    <w:rsid w:val="00CA1A27"/>
    <w:rsid w:val="00CB1B38"/>
    <w:rsid w:val="00CC306A"/>
    <w:rsid w:val="00CC4FF2"/>
    <w:rsid w:val="00CD038E"/>
    <w:rsid w:val="00CD56BE"/>
    <w:rsid w:val="00CE0010"/>
    <w:rsid w:val="00CF68E6"/>
    <w:rsid w:val="00D01ADF"/>
    <w:rsid w:val="00D20816"/>
    <w:rsid w:val="00D250A0"/>
    <w:rsid w:val="00D258A9"/>
    <w:rsid w:val="00D4336C"/>
    <w:rsid w:val="00D454B6"/>
    <w:rsid w:val="00D64B14"/>
    <w:rsid w:val="00D92819"/>
    <w:rsid w:val="00DA4DE3"/>
    <w:rsid w:val="00DB7FA9"/>
    <w:rsid w:val="00DC457D"/>
    <w:rsid w:val="00DC68A5"/>
    <w:rsid w:val="00DD2371"/>
    <w:rsid w:val="00DD4532"/>
    <w:rsid w:val="00DE6A8E"/>
    <w:rsid w:val="00E12DB6"/>
    <w:rsid w:val="00E531E3"/>
    <w:rsid w:val="00E5490D"/>
    <w:rsid w:val="00E54A57"/>
    <w:rsid w:val="00E63776"/>
    <w:rsid w:val="00E925C6"/>
    <w:rsid w:val="00EA1F05"/>
    <w:rsid w:val="00EB25CE"/>
    <w:rsid w:val="00EE17FC"/>
    <w:rsid w:val="00EE3D54"/>
    <w:rsid w:val="00EF5966"/>
    <w:rsid w:val="00F02DD9"/>
    <w:rsid w:val="00F07C3F"/>
    <w:rsid w:val="00F1278D"/>
    <w:rsid w:val="00F20605"/>
    <w:rsid w:val="00F26946"/>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 w:type="character" w:styleId="SmartLink">
    <w:name w:val="Smart Link"/>
    <w:basedOn w:val="DefaultParagraphFont"/>
    <w:uiPriority w:val="99"/>
    <w:semiHidden/>
    <w:unhideWhenUsed/>
    <w:rsid w:val="00672B29"/>
    <w:rPr>
      <w:color w:val="0000FF"/>
      <w:u w:val="single"/>
      <w:shd w:val="clear" w:color="auto" w:fill="F3F2F1"/>
    </w:rPr>
  </w:style>
  <w:style w:type="paragraph" w:customStyle="1" w:styleId="my-0">
    <w:name w:val="my-0"/>
    <w:basedOn w:val="Normal"/>
    <w:rsid w:val="00AD455A"/>
    <w:pPr>
      <w:widowControl/>
      <w:spacing w:before="100" w:beforeAutospacing="1" w:after="100" w:afterAutospacing="1"/>
    </w:pPr>
    <w:rPr>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242034804">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494951403">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615798125">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94477445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188448749">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78299852">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 w:id="2019849360">
      <w:bodyDiv w:val="1"/>
      <w:marLeft w:val="0"/>
      <w:marRight w:val="0"/>
      <w:marTop w:val="0"/>
      <w:marBottom w:val="0"/>
      <w:divBdr>
        <w:top w:val="none" w:sz="0" w:space="0" w:color="auto"/>
        <w:left w:val="none" w:sz="0" w:space="0" w:color="auto"/>
        <w:bottom w:val="none" w:sz="0" w:space="0" w:color="auto"/>
        <w:right w:val="none" w:sz="0" w:space="0" w:color="auto"/>
      </w:divBdr>
    </w:div>
    <w:div w:id="21364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cbcc.sharepoint.com/:f:/s/Procurement/EhIqZQxQv_lDhnyWUc-NVVoBP-Cvnjiin3doqaWRli5hgg?e=bn9EG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lakecountyfl.gov/offices/procurement_services/term_and_supply.aspx?mylakefl=tru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C36A6.0628F2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2F1E83"/>
    <w:rsid w:val="0048083F"/>
    <w:rsid w:val="004E3EE4"/>
    <w:rsid w:val="005247F9"/>
    <w:rsid w:val="005A349D"/>
    <w:rsid w:val="005D2AC0"/>
    <w:rsid w:val="006169CC"/>
    <w:rsid w:val="00835CF4"/>
    <w:rsid w:val="008F6B69"/>
    <w:rsid w:val="00925724"/>
    <w:rsid w:val="009D4917"/>
    <w:rsid w:val="00B307AF"/>
    <w:rsid w:val="00C73171"/>
    <w:rsid w:val="00D25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2.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3</Pages>
  <Words>1054</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23</cp:revision>
  <cp:lastPrinted>2020-04-01T15:04:00Z</cp:lastPrinted>
  <dcterms:created xsi:type="dcterms:W3CDTF">2020-04-08T13:16:00Z</dcterms:created>
  <dcterms:modified xsi:type="dcterms:W3CDTF">2025-10-09T15:19:00Z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