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2FF01C8F" w14:textId="51FAAEB4" w:rsidR="000E678B" w:rsidRPr="00CD038E" w:rsidRDefault="000E678B" w:rsidP="000E678B">
      <w:pPr>
        <w:tabs>
          <w:tab w:val="left" w:pos="7020"/>
        </w:tabs>
        <w:rPr>
          <w:szCs w:val="24"/>
        </w:rPr>
      </w:pPr>
      <w:r>
        <w:rPr>
          <w:rFonts w:ascii="Open Sans" w:hAnsi="Open Sans" w:cs="Open Sans"/>
          <w:color w:val="595959" w:themeColor="text1" w:themeTint="A6"/>
          <w:sz w:val="15"/>
          <w:szCs w:val="15"/>
        </w:rPr>
        <w:tab/>
      </w:r>
      <w:r>
        <w:rPr>
          <w:rFonts w:ascii="Open Sans" w:hAnsi="Open Sans" w:cs="Open Sans"/>
          <w:color w:val="595959" w:themeColor="text1" w:themeTint="A6"/>
          <w:sz w:val="15"/>
          <w:szCs w:val="15"/>
        </w:rPr>
        <w:tab/>
      </w:r>
      <w:r>
        <w:rPr>
          <w:rFonts w:ascii="Open Sans" w:hAnsi="Open Sans" w:cs="Open Sans"/>
          <w:color w:val="595959" w:themeColor="text1" w:themeTint="A6"/>
          <w:sz w:val="15"/>
          <w:szCs w:val="15"/>
        </w:rPr>
        <w:tab/>
      </w:r>
      <w:r>
        <w:rPr>
          <w:rFonts w:ascii="Open Sans" w:hAnsi="Open Sans" w:cs="Open Sans"/>
          <w:color w:val="595959" w:themeColor="text1" w:themeTint="A6"/>
          <w:sz w:val="15"/>
          <w:szCs w:val="15"/>
        </w:rPr>
        <w:tab/>
      </w:r>
      <w:r>
        <w:rPr>
          <w:szCs w:val="24"/>
        </w:rPr>
        <w:t>07/</w:t>
      </w:r>
      <w:r w:rsidR="00DC6A5D">
        <w:rPr>
          <w:szCs w:val="24"/>
        </w:rPr>
        <w:t>2</w:t>
      </w:r>
      <w:r w:rsidR="00D423B6">
        <w:rPr>
          <w:szCs w:val="24"/>
        </w:rPr>
        <w:t>9</w:t>
      </w:r>
      <w:r>
        <w:rPr>
          <w:szCs w:val="24"/>
        </w:rPr>
        <w:t>/2025</w:t>
      </w:r>
    </w:p>
    <w:p w14:paraId="6B289673" w14:textId="731CA935" w:rsidR="006D745E" w:rsidRDefault="00EA1F05" w:rsidP="00D423B6">
      <w:pPr>
        <w:tabs>
          <w:tab w:val="left" w:pos="3915"/>
          <w:tab w:val="left" w:pos="7020"/>
        </w:tabs>
        <w:rPr>
          <w:szCs w:val="24"/>
        </w:rPr>
      </w:pPr>
      <w:r>
        <w:rPr>
          <w:b/>
          <w:szCs w:val="24"/>
        </w:rPr>
        <w:t>SOLICTATION</w:t>
      </w:r>
      <w:r w:rsidR="00D423B6">
        <w:rPr>
          <w:b/>
          <w:szCs w:val="24"/>
        </w:rPr>
        <w:t xml:space="preserve"> 25-727</w:t>
      </w:r>
      <w:r w:rsidR="00525414" w:rsidRPr="00CD038E">
        <w:rPr>
          <w:szCs w:val="24"/>
        </w:rPr>
        <w:tab/>
      </w:r>
      <w:r w:rsidR="00D423B6">
        <w:rPr>
          <w:szCs w:val="24"/>
        </w:rPr>
        <w:tab/>
      </w:r>
    </w:p>
    <w:p w14:paraId="11B06B1F" w14:textId="77777777" w:rsidR="006E0943" w:rsidRPr="00CD038E" w:rsidRDefault="006E0943" w:rsidP="000E678B">
      <w:pPr>
        <w:tabs>
          <w:tab w:val="left" w:pos="7020"/>
        </w:tabs>
        <w:rPr>
          <w:b/>
          <w:szCs w:val="24"/>
        </w:rPr>
      </w:pPr>
    </w:p>
    <w:p w14:paraId="33560EC3" w14:textId="0979A285"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w:t>
      </w:r>
      <w:r w:rsidR="0050375E">
        <w:rPr>
          <w:szCs w:val="24"/>
        </w:rPr>
        <w:t xml:space="preserve"> solicitation</w:t>
      </w:r>
      <w:r w:rsidRPr="00CD038E">
        <w:rPr>
          <w:szCs w:val="24"/>
        </w:rPr>
        <w:t xml:space="preserve"> addenda</w:t>
      </w:r>
      <w:r w:rsidR="00855896">
        <w:rPr>
          <w:szCs w:val="24"/>
        </w:rPr>
        <w:t xml:space="preserve">. </w:t>
      </w:r>
      <w:r w:rsidR="0050375E">
        <w:rPr>
          <w:szCs w:val="24"/>
        </w:rPr>
        <w:t xml:space="preserve">Submit an electronically signed copy </w:t>
      </w:r>
      <w:r w:rsidRPr="00CD038E">
        <w:rPr>
          <w:szCs w:val="24"/>
        </w:rPr>
        <w:t>with</w:t>
      </w:r>
      <w:r w:rsidR="003B5832">
        <w:rPr>
          <w:szCs w:val="24"/>
        </w:rPr>
        <w:t xml:space="preserve"> </w:t>
      </w:r>
      <w:r w:rsidR="0050375E">
        <w:rPr>
          <w:szCs w:val="24"/>
        </w:rPr>
        <w:t xml:space="preserve">solicitation </w:t>
      </w:r>
      <w:r w:rsidR="003B5832">
        <w:rPr>
          <w:szCs w:val="24"/>
        </w:rPr>
        <w:t>s</w:t>
      </w:r>
      <w:r>
        <w:rPr>
          <w:szCs w:val="24"/>
        </w:rPr>
        <w:t>ubmi</w:t>
      </w:r>
      <w:r w:rsidR="0050375E">
        <w:rPr>
          <w:szCs w:val="24"/>
        </w:rPr>
        <w:t>ssion</w:t>
      </w:r>
      <w:r w:rsidR="00855896">
        <w:rPr>
          <w:szCs w:val="24"/>
        </w:rPr>
        <w:t>.</w:t>
      </w:r>
      <w:r w:rsidRPr="00CD038E">
        <w:rPr>
          <w:szCs w:val="24"/>
        </w:rPr>
        <w:t xml:space="preserve"> Failure to acknowledge </w:t>
      </w:r>
      <w:r w:rsidR="0050375E">
        <w:rPr>
          <w:szCs w:val="24"/>
        </w:rPr>
        <w:t>an</w:t>
      </w:r>
      <w:r w:rsidRPr="00CD038E">
        <w:rPr>
          <w:szCs w:val="24"/>
        </w:rPr>
        <w:t xml:space="preserve"> addendum may prevent the </w:t>
      </w:r>
      <w:r w:rsidR="003B5832">
        <w:rPr>
          <w:szCs w:val="24"/>
        </w:rPr>
        <w:t>submi</w:t>
      </w:r>
      <w:r w:rsidR="0050375E">
        <w:rPr>
          <w:szCs w:val="24"/>
        </w:rPr>
        <w:t>ssion</w:t>
      </w:r>
      <w:r w:rsidR="003B5832" w:rsidRPr="00CD038E">
        <w:rPr>
          <w:szCs w:val="24"/>
        </w:rPr>
        <w:t xml:space="preserve"> </w:t>
      </w:r>
      <w:r w:rsidRPr="00CD038E">
        <w:rPr>
          <w:szCs w:val="24"/>
        </w:rPr>
        <w:t xml:space="preserve">from being considered for </w:t>
      </w:r>
      <w:proofErr w:type="gramStart"/>
      <w:r w:rsidRPr="00CD038E">
        <w:rPr>
          <w:szCs w:val="24"/>
        </w:rPr>
        <w:t>award</w:t>
      </w:r>
      <w:proofErr w:type="gramEnd"/>
      <w:r w:rsidRPr="00CD038E">
        <w:rPr>
          <w:szCs w:val="24"/>
        </w:rPr>
        <w:t>.</w:t>
      </w:r>
    </w:p>
    <w:p w14:paraId="652FDB4C" w14:textId="03396F46" w:rsidR="00B60E88" w:rsidRDefault="00271D07" w:rsidP="00EA1F05">
      <w:pPr>
        <w:pStyle w:val="Default"/>
        <w:tabs>
          <w:tab w:val="left" w:pos="360"/>
        </w:tabs>
        <w:spacing w:after="240"/>
        <w:ind w:left="360"/>
      </w:pPr>
      <w:r w:rsidRPr="008E5F15">
        <w:t xml:space="preserve">THIS ADDENDUM </w:t>
      </w:r>
      <w:r w:rsidR="000053DE">
        <w:t xml:space="preserve">DOES NOT </w:t>
      </w:r>
      <w:r w:rsidRPr="008E5F15">
        <w:t>CHANGE THE DATE FOR RECEIPT OF PROPOSALS</w:t>
      </w:r>
      <w:r w:rsidR="000053DE">
        <w:t>.</w:t>
      </w:r>
    </w:p>
    <w:p w14:paraId="5C1CD418" w14:textId="0E45739E" w:rsidR="00EA1F05" w:rsidRPr="00EA1F05" w:rsidRDefault="00EA1F05" w:rsidP="00EA1F05">
      <w:pPr>
        <w:pStyle w:val="Default"/>
        <w:tabs>
          <w:tab w:val="left" w:pos="360"/>
        </w:tabs>
        <w:spacing w:after="240"/>
        <w:rPr>
          <w:b/>
          <w:bCs/>
          <w:u w:val="single"/>
        </w:rPr>
      </w:pPr>
      <w:r w:rsidRPr="00EA1F05">
        <w:rPr>
          <w:b/>
          <w:bCs/>
          <w:u w:val="single"/>
        </w:rPr>
        <w:t>QUESTIONS/RESPONSES</w:t>
      </w:r>
    </w:p>
    <w:p w14:paraId="58FCB055" w14:textId="4E65876D" w:rsidR="000053DE" w:rsidRDefault="000053DE" w:rsidP="000053DE">
      <w:pPr>
        <w:spacing w:after="120"/>
        <w:ind w:left="547" w:hanging="547"/>
      </w:pPr>
      <w:r>
        <w:t>Q8.</w:t>
      </w:r>
      <w:r>
        <w:tab/>
      </w:r>
      <w:r w:rsidRPr="000053DE">
        <w:t xml:space="preserve">The </w:t>
      </w:r>
      <w:r w:rsidR="0029713F" w:rsidRPr="000053DE">
        <w:t>WAR</w:t>
      </w:r>
      <w:r w:rsidR="0029713F">
        <w:t>R</w:t>
      </w:r>
      <w:r w:rsidR="0029713F" w:rsidRPr="000053DE">
        <w:t>ANTY and</w:t>
      </w:r>
      <w:r w:rsidRPr="000053DE">
        <w:t xml:space="preserve"> DEFICIENCIES IN WORK TO BE CORRECTED BY THE CONTRACTOR sections, included on page 7 of 15, Exhibit C</w:t>
      </w:r>
      <w:proofErr w:type="gramStart"/>
      <w:r w:rsidRPr="000053DE">
        <w:t>, they</w:t>
      </w:r>
      <w:proofErr w:type="gramEnd"/>
      <w:r w:rsidRPr="000053DE">
        <w:t xml:space="preserve"> state the contract will warrant goods against factory defects. As design professionals, we do not provide </w:t>
      </w:r>
      <w:proofErr w:type="gramStart"/>
      <w:r w:rsidRPr="000053DE">
        <w:t>goods</w:t>
      </w:r>
      <w:proofErr w:type="gramEnd"/>
      <w:r w:rsidRPr="000053DE">
        <w:t xml:space="preserve"> but rather professional services and we cannot warrant against defects in goods provided by a contractor. Would the City please replace these sections with the following? “The Consultant warrants it will provide its services per the standard of care, which is that degree of care </w:t>
      </w:r>
      <w:bookmarkStart w:id="0" w:name="OLE_LINK58"/>
      <w:r w:rsidRPr="000053DE">
        <w:t xml:space="preserve">and skill ordinarily exercised, under similar circumstances, by reputable members of its profession </w:t>
      </w:r>
      <w:bookmarkStart w:id="1" w:name="OLE_LINK1"/>
      <w:r w:rsidRPr="000053DE">
        <w:t>in the same locality at the time the services are provided</w:t>
      </w:r>
      <w:bookmarkEnd w:id="0"/>
      <w:bookmarkEnd w:id="1"/>
      <w:r w:rsidRPr="000053DE">
        <w:t>.” If the County will not replace this section, will it confirm these terms apply to the actual Contractor and not the design professional?</w:t>
      </w:r>
    </w:p>
    <w:p w14:paraId="767EF8AD" w14:textId="082ABE76" w:rsidR="000053DE" w:rsidRPr="000053DE" w:rsidRDefault="00374885" w:rsidP="00374885">
      <w:pPr>
        <w:pStyle w:val="my-0"/>
        <w:spacing w:beforeAutospacing="0" w:after="120" w:afterAutospacing="0"/>
        <w:ind w:left="907" w:hanging="360"/>
      </w:pPr>
      <w:r>
        <w:t>A.</w:t>
      </w:r>
      <w:r>
        <w:tab/>
      </w:r>
      <w:r w:rsidR="000053DE">
        <w:t xml:space="preserve">No. </w:t>
      </w:r>
      <w:r>
        <w:t>This is a standard contract provision and does not impose obligations beyond those required by applicable professional standards.</w:t>
      </w:r>
    </w:p>
    <w:p w14:paraId="71059CD2" w14:textId="173D69AC" w:rsidR="000053DE" w:rsidRDefault="000053DE" w:rsidP="000053DE">
      <w:pPr>
        <w:spacing w:after="120"/>
        <w:ind w:left="547" w:hanging="547"/>
      </w:pPr>
      <w:r>
        <w:t>Q9.</w:t>
      </w:r>
      <w:r>
        <w:tab/>
      </w:r>
      <w:r w:rsidRPr="000053DE">
        <w:t xml:space="preserve">Section 5.13 – Accuracy and Warranty, within the sample agreement </w:t>
      </w:r>
      <w:proofErr w:type="gramStart"/>
      <w:r w:rsidRPr="000053DE">
        <w:t>states</w:t>
      </w:r>
      <w:proofErr w:type="gramEnd"/>
      <w:r w:rsidRPr="000053DE">
        <w:t xml:space="preserve"> “CONSULTANT agrees that the products and services provided under this Agreement will be covered by the most favorable commercial warranty that CONSULTANT gives to any customer for comparable products and services.” As design professionals, we do not provide products and cannot </w:t>
      </w:r>
      <w:proofErr w:type="gramStart"/>
      <w:r w:rsidRPr="000053DE">
        <w:t>warrant</w:t>
      </w:r>
      <w:proofErr w:type="gramEnd"/>
      <w:r w:rsidRPr="000053DE">
        <w:t xml:space="preserve"> the same, however, we can warrant our services will be per the standard of care. Would the County please replace this clause with the following? “The Consultant warrants it will provide its services per the standard of care, which is that degree of care and skill ordinarily exercised, under similar circumstances, by reputable members of its profession in the same locality at the time the services are provided.”</w:t>
      </w:r>
    </w:p>
    <w:p w14:paraId="143535EF" w14:textId="19D36BE8" w:rsidR="00D17F8A" w:rsidRPr="000053DE" w:rsidRDefault="00D17F8A" w:rsidP="00D17F8A">
      <w:pPr>
        <w:pStyle w:val="my-0"/>
        <w:spacing w:beforeAutospacing="0" w:after="120" w:afterAutospacing="0"/>
        <w:ind w:left="907" w:hanging="360"/>
      </w:pPr>
      <w:r>
        <w:t>A. No. This is a standard contract provision and does not impose obligations beyond those required by applicable professional standards.</w:t>
      </w:r>
    </w:p>
    <w:p w14:paraId="3B6D7F5F" w14:textId="77777777" w:rsidR="000053DE" w:rsidRDefault="000053DE" w:rsidP="000053DE">
      <w:pPr>
        <w:spacing w:after="120"/>
        <w:ind w:left="547" w:hanging="547"/>
      </w:pPr>
      <w:r>
        <w:t>Q10.</w:t>
      </w:r>
      <w:r>
        <w:tab/>
      </w:r>
      <w:r w:rsidRPr="000053DE">
        <w:t xml:space="preserve">As currently worded, we believe that the indemnity provision, Section 5.8, in Exhibit E of the Sample Contract is not in compliance with FL Statute 725.08 and is unenforceable. Would the County please consider </w:t>
      </w:r>
      <w:proofErr w:type="gramStart"/>
      <w:r w:rsidRPr="000053DE">
        <w:t>rewording</w:t>
      </w:r>
      <w:proofErr w:type="gramEnd"/>
      <w:r w:rsidRPr="000053DE">
        <w:t xml:space="preserve"> same to conform with the statute? Suggested language per FL Statutes 725.08: "The design professional shall indemnify and hold harmless the agency, and its officers and employees, from liabilities, damages, losses, and costs, including, but not limited to, reasonable attorneys' fees, to the extent caused by the negligence, recklessness, or intentionally wrongful conduct of the design professional and other persons employed or utilized by the design </w:t>
      </w:r>
      <w:r w:rsidRPr="000053DE">
        <w:lastRenderedPageBreak/>
        <w:t>professional in the performance of the contract.</w:t>
      </w:r>
    </w:p>
    <w:p w14:paraId="06411EC6" w14:textId="2DECA707" w:rsidR="00374885" w:rsidRDefault="00374885" w:rsidP="00374885">
      <w:pPr>
        <w:pStyle w:val="ListParagraph"/>
        <w:numPr>
          <w:ilvl w:val="1"/>
          <w:numId w:val="16"/>
        </w:numPr>
        <w:spacing w:after="120"/>
        <w:ind w:left="907"/>
        <w:jc w:val="both"/>
        <w:rPr>
          <w:rFonts w:ascii="Times New Roman" w:hAnsi="Times New Roman"/>
          <w:b/>
          <w:bCs/>
          <w:color w:val="000000"/>
          <w:sz w:val="24"/>
          <w:szCs w:val="24"/>
        </w:rPr>
      </w:pPr>
      <w:bookmarkStart w:id="2" w:name="_Hlk203982296"/>
      <w:r>
        <w:rPr>
          <w:rFonts w:ascii="Times New Roman" w:hAnsi="Times New Roman"/>
          <w:b/>
          <w:bCs/>
          <w:color w:val="000000"/>
          <w:sz w:val="24"/>
          <w:szCs w:val="24"/>
        </w:rPr>
        <w:t xml:space="preserve">No. </w:t>
      </w:r>
      <w:r>
        <w:rPr>
          <w:rFonts w:ascii="Times New Roman" w:eastAsia="Times New Roman" w:hAnsi="Times New Roman"/>
          <w:sz w:val="24"/>
          <w:szCs w:val="24"/>
        </w:rPr>
        <w:t>This language is in accordance with the LAP agreement and cannot be removed or reworded.</w:t>
      </w:r>
    </w:p>
    <w:bookmarkEnd w:id="2"/>
    <w:p w14:paraId="560D312A" w14:textId="0B463DD7" w:rsidR="000053DE" w:rsidRDefault="000053DE" w:rsidP="00374885">
      <w:pPr>
        <w:spacing w:after="120"/>
        <w:ind w:left="547" w:hanging="547"/>
      </w:pPr>
      <w:r>
        <w:t>Q11.</w:t>
      </w:r>
      <w:r>
        <w:tab/>
      </w:r>
      <w:r w:rsidRPr="000053DE">
        <w:t xml:space="preserve">We request the County to address problematic language in RSQ 25-727. The "Indemnification" section on page 10 of Exhibit C does not comply with Florida Statute 725.08 by requiring a defense. Will the County please consider </w:t>
      </w:r>
      <w:proofErr w:type="gramStart"/>
      <w:r w:rsidRPr="000053DE">
        <w:t>rewording</w:t>
      </w:r>
      <w:proofErr w:type="gramEnd"/>
      <w:r w:rsidRPr="000053DE">
        <w:t xml:space="preserve"> same to conform with the statute and deleting the requirement to "defend"? </w:t>
      </w:r>
    </w:p>
    <w:p w14:paraId="7EDBD622" w14:textId="64CC09C0" w:rsidR="00374885" w:rsidRPr="00C54A24" w:rsidRDefault="00374885" w:rsidP="00874D61">
      <w:pPr>
        <w:pStyle w:val="ListParagraph"/>
        <w:numPr>
          <w:ilvl w:val="1"/>
          <w:numId w:val="16"/>
        </w:numPr>
        <w:spacing w:after="120"/>
        <w:ind w:left="907"/>
        <w:jc w:val="both"/>
        <w:rPr>
          <w:rFonts w:ascii="Times New Roman" w:hAnsi="Times New Roman"/>
          <w:b/>
          <w:bCs/>
          <w:color w:val="000000"/>
          <w:sz w:val="24"/>
          <w:szCs w:val="24"/>
        </w:rPr>
      </w:pPr>
      <w:r>
        <w:rPr>
          <w:rFonts w:ascii="Times New Roman" w:hAnsi="Times New Roman"/>
          <w:b/>
          <w:bCs/>
          <w:color w:val="000000"/>
          <w:sz w:val="24"/>
          <w:szCs w:val="24"/>
        </w:rPr>
        <w:t xml:space="preserve">No. </w:t>
      </w:r>
      <w:r>
        <w:rPr>
          <w:rFonts w:ascii="Times New Roman" w:eastAsia="Times New Roman" w:hAnsi="Times New Roman"/>
          <w:sz w:val="24"/>
          <w:szCs w:val="24"/>
        </w:rPr>
        <w:t>This language is in accordance with the LAP agreement and cannot be removed or reworded.</w:t>
      </w:r>
    </w:p>
    <w:p w14:paraId="25E4807B" w14:textId="77777777" w:rsidR="00C54A24" w:rsidRDefault="00C54A24" w:rsidP="00FB2D28">
      <w:pPr>
        <w:spacing w:after="120"/>
        <w:ind w:left="547" w:hanging="547"/>
        <w:rPr>
          <w:rFonts w:cs="Calibri"/>
        </w:rPr>
      </w:pPr>
      <w:bookmarkStart w:id="3" w:name="_Hlk203984000"/>
      <w:r w:rsidRPr="00C54A24">
        <w:rPr>
          <w:snapToGrid/>
          <w:color w:val="000000"/>
          <w:szCs w:val="24"/>
        </w:rPr>
        <w:t>Q12.</w:t>
      </w:r>
      <w:r w:rsidRPr="00C54A24">
        <w:rPr>
          <w:snapToGrid/>
          <w:color w:val="000000"/>
          <w:szCs w:val="24"/>
        </w:rPr>
        <w:tab/>
      </w:r>
      <w:r w:rsidRPr="00C54A24">
        <w:rPr>
          <w:rFonts w:cs="Calibri"/>
        </w:rPr>
        <w:t>Geotechnical Engineering is not listed in the scope. Can the County confirm geotechnical is not needed, or if the County is providing Geotechnical?</w:t>
      </w:r>
    </w:p>
    <w:p w14:paraId="5BA63CF1" w14:textId="28107A59" w:rsidR="00C54A24" w:rsidRPr="00C54A24" w:rsidRDefault="00C54A24" w:rsidP="00F30929">
      <w:pPr>
        <w:spacing w:after="120"/>
        <w:ind w:left="907" w:hanging="360"/>
        <w:rPr>
          <w:rFonts w:cs="Calibri"/>
          <w:snapToGrid/>
        </w:rPr>
      </w:pPr>
      <w:r>
        <w:rPr>
          <w:snapToGrid/>
          <w:color w:val="000000"/>
          <w:szCs w:val="24"/>
        </w:rPr>
        <w:t>A.</w:t>
      </w:r>
      <w:r w:rsidR="00FB2D28">
        <w:rPr>
          <w:snapToGrid/>
          <w:color w:val="000000"/>
          <w:szCs w:val="24"/>
        </w:rPr>
        <w:t xml:space="preserve"> Refer to Exhibit A – Scope of Work, Sections 6, 6.4.3, and 6.4.4.6.</w:t>
      </w:r>
      <w:r w:rsidR="00F30929">
        <w:rPr>
          <w:snapToGrid/>
          <w:color w:val="000000"/>
          <w:szCs w:val="24"/>
        </w:rPr>
        <w:t xml:space="preserve">  </w:t>
      </w:r>
      <w:r w:rsidR="008505AA">
        <w:rPr>
          <w:snapToGrid/>
          <w:color w:val="000000"/>
          <w:szCs w:val="24"/>
        </w:rPr>
        <w:t>A g</w:t>
      </w:r>
      <w:r w:rsidR="00F30929">
        <w:rPr>
          <w:snapToGrid/>
          <w:color w:val="000000"/>
          <w:szCs w:val="24"/>
        </w:rPr>
        <w:t>eotechnical consultant shall be included to perform any need for geotechnical work.</w:t>
      </w:r>
      <w:r w:rsidR="00FB2D28">
        <w:rPr>
          <w:snapToGrid/>
          <w:color w:val="000000"/>
          <w:szCs w:val="24"/>
        </w:rPr>
        <w:tab/>
      </w:r>
      <w:r>
        <w:rPr>
          <w:rFonts w:cs="Calibri"/>
          <w:snapToGrid/>
        </w:rPr>
        <w:tab/>
      </w:r>
    </w:p>
    <w:p w14:paraId="18C81CFA" w14:textId="7BE0E1D8" w:rsidR="00FB2D28" w:rsidRDefault="00C54A24" w:rsidP="00FB2D28">
      <w:pPr>
        <w:spacing w:after="120"/>
        <w:ind w:left="547" w:hanging="547"/>
        <w:rPr>
          <w:rFonts w:cs="Calibri"/>
        </w:rPr>
      </w:pPr>
      <w:r>
        <w:rPr>
          <w:rFonts w:cs="Calibri"/>
        </w:rPr>
        <w:t>Q13.</w:t>
      </w:r>
      <w:r>
        <w:rPr>
          <w:rFonts w:cs="Calibri"/>
        </w:rPr>
        <w:tab/>
      </w:r>
      <w:r w:rsidRPr="00C54A24">
        <w:rPr>
          <w:rFonts w:cs="Calibri"/>
        </w:rPr>
        <w:t xml:space="preserve">In </w:t>
      </w:r>
      <w:r w:rsidR="008505AA" w:rsidRPr="00C54A24">
        <w:rPr>
          <w:rFonts w:cs="Calibri"/>
        </w:rPr>
        <w:t>Addendum</w:t>
      </w:r>
      <w:r w:rsidRPr="00C54A24">
        <w:rPr>
          <w:rFonts w:cs="Calibri"/>
        </w:rPr>
        <w:t xml:space="preserve"> 1, Question 3, it is stated the survey will be provided. Will the County provide the survey during the procurement stage?</w:t>
      </w:r>
    </w:p>
    <w:p w14:paraId="6D4DF15A" w14:textId="77777777" w:rsidR="00EC090F" w:rsidRDefault="00FB2D28" w:rsidP="00EC090F">
      <w:pPr>
        <w:widowControl/>
        <w:spacing w:after="120"/>
        <w:ind w:left="907" w:hanging="360"/>
      </w:pPr>
      <w:r>
        <w:rPr>
          <w:rFonts w:cs="Calibri"/>
        </w:rPr>
        <w:t>A.</w:t>
      </w:r>
      <w:r>
        <w:rPr>
          <w:rFonts w:cs="Calibri"/>
        </w:rPr>
        <w:tab/>
      </w:r>
      <w:r w:rsidR="00F30929">
        <w:rPr>
          <w:rFonts w:cs="Calibri"/>
        </w:rPr>
        <w:t xml:space="preserve">Survey documents </w:t>
      </w:r>
      <w:r w:rsidR="00AD002F">
        <w:rPr>
          <w:rFonts w:cs="Calibri"/>
        </w:rPr>
        <w:t xml:space="preserve">can be viewed at the following link: </w:t>
      </w:r>
      <w:hyperlink r:id="rId11" w:history="1">
        <w:r w:rsidR="00EC090F" w:rsidRPr="00EC090F">
          <w:rPr>
            <w:color w:val="0000FF"/>
            <w:u w:val="single"/>
          </w:rPr>
          <w:t>25-727 - Design Services for Hammock Ridge Rd. Roundabout</w:t>
        </w:r>
      </w:hyperlink>
      <w:r w:rsidR="00EC090F" w:rsidRPr="00EC090F">
        <w:t xml:space="preserve"> </w:t>
      </w:r>
    </w:p>
    <w:p w14:paraId="09CC543F" w14:textId="48A7ED78" w:rsidR="00C54A24" w:rsidRDefault="00C54A24" w:rsidP="00EC090F">
      <w:pPr>
        <w:widowControl/>
        <w:spacing w:after="120"/>
        <w:ind w:left="547" w:hanging="547"/>
        <w:rPr>
          <w:rFonts w:cs="Calibri"/>
        </w:rPr>
      </w:pPr>
      <w:r>
        <w:rPr>
          <w:rFonts w:cs="Calibri"/>
        </w:rPr>
        <w:t>Q14.</w:t>
      </w:r>
      <w:r>
        <w:rPr>
          <w:rFonts w:cs="Calibri"/>
        </w:rPr>
        <w:tab/>
      </w:r>
      <w:r w:rsidRPr="00C54A24">
        <w:rPr>
          <w:rFonts w:cs="Calibri"/>
        </w:rPr>
        <w:t>During the project, if it is determined additional survey will be required, will the County cover those services?</w:t>
      </w:r>
    </w:p>
    <w:p w14:paraId="78D63BA4" w14:textId="56622565" w:rsidR="00C54A24" w:rsidRDefault="00C54A24" w:rsidP="00F30929">
      <w:pPr>
        <w:spacing w:after="120"/>
        <w:ind w:left="907" w:hanging="360"/>
        <w:rPr>
          <w:rFonts w:cs="Calibri"/>
        </w:rPr>
      </w:pPr>
      <w:r>
        <w:rPr>
          <w:rFonts w:cs="Calibri"/>
        </w:rPr>
        <w:t>A.</w:t>
      </w:r>
      <w:r>
        <w:rPr>
          <w:rFonts w:cs="Calibri"/>
        </w:rPr>
        <w:tab/>
      </w:r>
      <w:r w:rsidR="00F30929">
        <w:rPr>
          <w:rFonts w:cs="Calibri"/>
        </w:rPr>
        <w:t>Yes.</w:t>
      </w:r>
    </w:p>
    <w:p w14:paraId="02CEECD9" w14:textId="77777777" w:rsidR="00874D61" w:rsidRDefault="00874D61" w:rsidP="00F30929">
      <w:pPr>
        <w:widowControl/>
        <w:spacing w:before="100" w:after="120"/>
        <w:ind w:left="547" w:hanging="547"/>
      </w:pPr>
      <w:r>
        <w:rPr>
          <w:rFonts w:cs="Calibri"/>
        </w:rPr>
        <w:t>Q15.</w:t>
      </w:r>
      <w:r>
        <w:rPr>
          <w:rFonts w:cs="Calibri"/>
        </w:rPr>
        <w:tab/>
      </w:r>
      <w:r>
        <w:t>Is a traffic operations analysis required for the proposed roundabout? (Such a study will require data collection, traffic analysis and simulation, and other related services)</w:t>
      </w:r>
    </w:p>
    <w:p w14:paraId="7A8C5B67" w14:textId="5BA8086C" w:rsidR="00874D61" w:rsidRDefault="00874D61" w:rsidP="00F30929">
      <w:pPr>
        <w:widowControl/>
        <w:spacing w:before="100" w:after="120"/>
        <w:ind w:left="907" w:hanging="360"/>
        <w:rPr>
          <w:snapToGrid/>
          <w:sz w:val="22"/>
        </w:rPr>
      </w:pPr>
      <w:r>
        <w:rPr>
          <w:rFonts w:cs="Calibri"/>
        </w:rPr>
        <w:t>A.</w:t>
      </w:r>
      <w:r>
        <w:rPr>
          <w:snapToGrid/>
          <w:sz w:val="22"/>
        </w:rPr>
        <w:t xml:space="preserve"> </w:t>
      </w:r>
      <w:r w:rsidR="00F30929">
        <w:rPr>
          <w:snapToGrid/>
          <w:sz w:val="22"/>
        </w:rPr>
        <w:t>No.</w:t>
      </w:r>
    </w:p>
    <w:p w14:paraId="5760FA3A" w14:textId="3ABAB505" w:rsidR="00874D61" w:rsidRDefault="00874D61" w:rsidP="00F30929">
      <w:pPr>
        <w:widowControl/>
        <w:spacing w:before="100" w:after="120"/>
        <w:ind w:left="547" w:hanging="547"/>
      </w:pPr>
      <w:r>
        <w:t>Q16.</w:t>
      </w:r>
      <w:r>
        <w:tab/>
        <w:t>Could you please confirm whether the provided conceptual design has been approved as the preferred alternative, or if alternative roundabout layouts are expected to be evaluated during the design process?</w:t>
      </w:r>
    </w:p>
    <w:p w14:paraId="6FB229BA" w14:textId="5C86E67D" w:rsidR="00874D61" w:rsidRDefault="00874D61" w:rsidP="00F30929">
      <w:pPr>
        <w:widowControl/>
        <w:spacing w:before="100" w:after="120"/>
        <w:ind w:left="907" w:hanging="360"/>
      </w:pPr>
      <w:r>
        <w:t xml:space="preserve">A. </w:t>
      </w:r>
      <w:r w:rsidR="00F30929">
        <w:t>Alternative roundabout layouts are expected to be evaluated during the design process.</w:t>
      </w:r>
    </w:p>
    <w:p w14:paraId="254D1000" w14:textId="77777777" w:rsidR="00716CC8" w:rsidRDefault="00716CC8" w:rsidP="00F30929">
      <w:pPr>
        <w:spacing w:before="100" w:after="120"/>
        <w:ind w:left="547" w:hanging="547"/>
      </w:pPr>
      <w:r>
        <w:t>Q17.</w:t>
      </w:r>
      <w:r>
        <w:tab/>
      </w:r>
      <w:r w:rsidRPr="00716CC8">
        <w:t>On 7/11, Lake County uploaded a design concept for the Roundabout Design for Hammock Ridge Rd. To what extent has the design for the roundabout already been completed and by which incumbent consultant?</w:t>
      </w:r>
    </w:p>
    <w:p w14:paraId="2187CC98" w14:textId="2C424CA8" w:rsidR="00716CC8" w:rsidRPr="00716CC8" w:rsidRDefault="00716CC8" w:rsidP="00F30929">
      <w:pPr>
        <w:spacing w:before="100" w:after="120"/>
        <w:ind w:left="907" w:hanging="360"/>
        <w:rPr>
          <w:snapToGrid/>
          <w:sz w:val="22"/>
        </w:rPr>
      </w:pPr>
      <w:r>
        <w:t>A.</w:t>
      </w:r>
      <w:r>
        <w:tab/>
      </w:r>
      <w:r w:rsidR="00F30929">
        <w:t xml:space="preserve">The concept was prepared by Lake County Staff.  The selected </w:t>
      </w:r>
      <w:proofErr w:type="gramStart"/>
      <w:r w:rsidR="00F30929">
        <w:t>consultant</w:t>
      </w:r>
      <w:proofErr w:type="gramEnd"/>
      <w:r w:rsidR="00F30929">
        <w:t xml:space="preserve"> </w:t>
      </w:r>
      <w:r w:rsidR="008505AA">
        <w:t xml:space="preserve">shall </w:t>
      </w:r>
      <w:r w:rsidR="00F30929">
        <w:t>update or prepare their own layout.</w:t>
      </w:r>
    </w:p>
    <w:p w14:paraId="186BA0DA" w14:textId="567DA9D0" w:rsidR="00716CC8" w:rsidRDefault="00716CC8" w:rsidP="00F30929">
      <w:pPr>
        <w:spacing w:before="100" w:after="120"/>
        <w:ind w:left="547" w:hanging="547"/>
      </w:pPr>
      <w:r>
        <w:t>Q18.</w:t>
      </w:r>
      <w:r>
        <w:tab/>
      </w:r>
      <w:r w:rsidRPr="00716CC8">
        <w:t>In the scope of services (Exhibit A), page 1, topographic services are listed as a required service but then state that they have already been performed. Can we have clarification on whether these services are still expected as a part of the proposing team’s qualifications?</w:t>
      </w:r>
    </w:p>
    <w:p w14:paraId="52B45226" w14:textId="2ED66A52" w:rsidR="008505AA" w:rsidRDefault="00716CC8" w:rsidP="008505AA">
      <w:pPr>
        <w:widowControl/>
        <w:spacing w:after="120"/>
        <w:ind w:left="907" w:hanging="360"/>
      </w:pPr>
      <w:r>
        <w:t>A.</w:t>
      </w:r>
      <w:r>
        <w:tab/>
      </w:r>
      <w:r w:rsidR="00F30929">
        <w:t>Topographic services and survey will be provided by the County.</w:t>
      </w:r>
      <w:r w:rsidR="008505AA" w:rsidRPr="008505AA">
        <w:rPr>
          <w:rFonts w:cs="Calibri"/>
        </w:rPr>
        <w:t xml:space="preserve"> </w:t>
      </w:r>
      <w:r w:rsidR="008505AA">
        <w:rPr>
          <w:rFonts w:cs="Calibri"/>
        </w:rPr>
        <w:t xml:space="preserve">Documents can be viewed at the following link: </w:t>
      </w:r>
      <w:hyperlink r:id="rId12" w:history="1">
        <w:r w:rsidR="00EC090F" w:rsidRPr="00EC090F">
          <w:rPr>
            <w:color w:val="0000FF"/>
            <w:u w:val="single"/>
          </w:rPr>
          <w:t>25-727 - Design Services for Hammock Ridge Rd. Roundabout</w:t>
        </w:r>
      </w:hyperlink>
      <w:r w:rsidR="00EC090F" w:rsidRPr="00EC090F">
        <w:t xml:space="preserve"> </w:t>
      </w:r>
      <w:r w:rsidR="008505AA" w:rsidRPr="00181E9F">
        <w:t xml:space="preserve"> </w:t>
      </w:r>
    </w:p>
    <w:p w14:paraId="36C0DB68" w14:textId="6AC050EC" w:rsidR="00716CC8" w:rsidRPr="00716CC8" w:rsidRDefault="00716CC8" w:rsidP="00F30929">
      <w:pPr>
        <w:spacing w:before="100" w:after="120"/>
        <w:ind w:left="907" w:hanging="360"/>
      </w:pPr>
    </w:p>
    <w:p w14:paraId="74067E4B" w14:textId="48A068C2" w:rsidR="00716CC8" w:rsidRDefault="00716CC8" w:rsidP="00F30929">
      <w:pPr>
        <w:spacing w:before="100" w:after="120"/>
        <w:ind w:left="547" w:hanging="547"/>
      </w:pPr>
      <w:r>
        <w:lastRenderedPageBreak/>
        <w:t>Q19.</w:t>
      </w:r>
      <w:r>
        <w:tab/>
      </w:r>
      <w:r w:rsidRPr="00716CC8">
        <w:t xml:space="preserve">Expected deliverables include an erosion control plan, this often involves the use of a coastal engineering consultant. Is it the County’s intention to </w:t>
      </w:r>
      <w:proofErr w:type="gramStart"/>
      <w:r w:rsidRPr="00716CC8">
        <w:t>require</w:t>
      </w:r>
      <w:proofErr w:type="gramEnd"/>
      <w:r w:rsidRPr="00716CC8">
        <w:t xml:space="preserve"> this as a part of this roundabout design contract?</w:t>
      </w:r>
    </w:p>
    <w:p w14:paraId="7A5D19F5" w14:textId="17839A08" w:rsidR="00716CC8" w:rsidRDefault="00716CC8" w:rsidP="00F30929">
      <w:pPr>
        <w:spacing w:before="100" w:after="120"/>
        <w:ind w:left="907" w:hanging="360"/>
      </w:pPr>
      <w:r>
        <w:t>A.</w:t>
      </w:r>
      <w:r>
        <w:tab/>
      </w:r>
      <w:r w:rsidR="00F30929">
        <w:t xml:space="preserve">No.  Silt fence or other erosion control measures as needed for the NPDES permit should be provided. </w:t>
      </w:r>
    </w:p>
    <w:p w14:paraId="7425455A" w14:textId="77777777" w:rsidR="00575ADC" w:rsidRDefault="00575ADC" w:rsidP="00F30929">
      <w:pPr>
        <w:spacing w:before="100" w:after="120"/>
        <w:ind w:left="547" w:hanging="547"/>
        <w:rPr>
          <w:sz w:val="22"/>
          <w:szCs w:val="22"/>
        </w:rPr>
      </w:pPr>
      <w:bookmarkStart w:id="4" w:name="_Hlk204000665"/>
      <w:r>
        <w:t>Q20.</w:t>
      </w:r>
      <w:r>
        <w:tab/>
      </w:r>
      <w:r>
        <w:rPr>
          <w:sz w:val="22"/>
          <w:szCs w:val="22"/>
        </w:rPr>
        <w:t xml:space="preserve">GAI would like to request the CAD files associated with the HDR Concept Roundabout given in Exhibit F. </w:t>
      </w:r>
    </w:p>
    <w:p w14:paraId="078DF36F" w14:textId="77777777" w:rsidR="00EC090F" w:rsidRDefault="00575ADC" w:rsidP="00181E9F">
      <w:pPr>
        <w:widowControl/>
        <w:ind w:left="907" w:hanging="360"/>
      </w:pPr>
      <w:r>
        <w:t>A.</w:t>
      </w:r>
      <w:r w:rsidR="00AD002F">
        <w:tab/>
      </w:r>
      <w:r w:rsidR="002E62DB">
        <w:t xml:space="preserve">HDR provided a pdf concept years ago.  The current layout was prepared by Lake County and the CAD file can be viewed at the following link: </w:t>
      </w:r>
      <w:r>
        <w:rPr>
          <w:snapToGrid/>
          <w:sz w:val="22"/>
          <w:szCs w:val="22"/>
        </w:rPr>
        <w:tab/>
      </w:r>
      <w:bookmarkEnd w:id="4"/>
      <w:bookmarkEnd w:id="3"/>
      <w:r w:rsidR="00EC090F" w:rsidRPr="00EC090F">
        <w:fldChar w:fldCharType="begin"/>
      </w:r>
      <w:r w:rsidR="00EC090F" w:rsidRPr="00EC090F">
        <w:instrText>HYPERLINK "https://lcbcc.sharepoint.com/:f:/s/Procurement/Eq92MCrj9WNOj4xy0RPr85QB12Hl0XEUVwHMvRFxcTrOLQ?e=1Atz78"</w:instrText>
      </w:r>
      <w:r w:rsidR="00EC090F" w:rsidRPr="00EC090F">
        <w:fldChar w:fldCharType="separate"/>
      </w:r>
      <w:r w:rsidR="00EC090F" w:rsidRPr="00EC090F">
        <w:rPr>
          <w:color w:val="0000FF"/>
          <w:u w:val="single"/>
        </w:rPr>
        <w:t>25-727 - Design Services for Hammock Ridge Rd. Roundabout</w:t>
      </w:r>
      <w:r w:rsidR="00EC090F" w:rsidRPr="00EC090F">
        <w:fldChar w:fldCharType="end"/>
      </w:r>
    </w:p>
    <w:p w14:paraId="4CEF1343" w14:textId="10116CF7" w:rsidR="00C54A24" w:rsidRPr="00C54A24" w:rsidRDefault="00C54A24" w:rsidP="00181E9F">
      <w:pPr>
        <w:widowControl/>
        <w:ind w:left="907" w:hanging="360"/>
        <w:rPr>
          <w:snapToGrid/>
          <w:color w:val="000000"/>
          <w:szCs w:val="24"/>
        </w:rPr>
      </w:pPr>
      <w:r>
        <w:rPr>
          <w:snapToGrid/>
          <w:color w:val="000000"/>
          <w:szCs w:val="24"/>
        </w:rPr>
        <w:tab/>
      </w:r>
    </w:p>
    <w:p w14:paraId="254BCA53" w14:textId="6242410B" w:rsidR="00CF68E6" w:rsidRDefault="00EA1F05" w:rsidP="00EA1F05">
      <w:pPr>
        <w:pBdr>
          <w:bottom w:val="single" w:sz="6" w:space="1" w:color="auto"/>
        </w:pBdr>
        <w:spacing w:after="120"/>
        <w:rPr>
          <w:b/>
          <w:bCs/>
          <w:u w:val="single"/>
        </w:rPr>
      </w:pPr>
      <w:r w:rsidRPr="00EA1F05">
        <w:rPr>
          <w:b/>
          <w:bCs/>
          <w:u w:val="single"/>
        </w:rPr>
        <w:t>ADDITIONAL INFORMATION</w:t>
      </w:r>
    </w:p>
    <w:p w14:paraId="762D5534" w14:textId="191A530C" w:rsidR="00BF263B" w:rsidRDefault="00C3193A" w:rsidP="00436011">
      <w:pPr>
        <w:pBdr>
          <w:bottom w:val="single" w:sz="6" w:space="1" w:color="auto"/>
        </w:pBdr>
        <w:spacing w:after="120"/>
        <w:rPr>
          <w:b/>
          <w:bCs/>
        </w:rPr>
      </w:pPr>
      <w:r>
        <w:rPr>
          <w:b/>
          <w:bCs/>
        </w:rPr>
        <w:t>N/A</w:t>
      </w: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50375E">
      <w:headerReference w:type="default" r:id="rId13"/>
      <w:footerReference w:type="default" r:id="rId14"/>
      <w:headerReference w:type="first" r:id="rId15"/>
      <w:footerReference w:type="first" r:id="rId16"/>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854D" w14:textId="1E98C332" w:rsidR="0069382C" w:rsidRPr="00EA1F05" w:rsidRDefault="0069382C" w:rsidP="0069382C">
    <w:pPr>
      <w:pStyle w:val="Header"/>
      <w:tabs>
        <w:tab w:val="clear" w:pos="8640"/>
        <w:tab w:val="right" w:pos="9900"/>
      </w:tabs>
      <w:rPr>
        <w:b/>
        <w:bCs/>
      </w:rPr>
    </w:pPr>
    <w:r w:rsidRPr="00EA1F05">
      <w:rPr>
        <w:b/>
        <w:bCs/>
      </w:rPr>
      <w:t xml:space="preserve">ADDENDUM NO. </w:t>
    </w:r>
    <w:r w:rsidRPr="000E678B">
      <w:rPr>
        <w:b/>
        <w:bCs/>
      </w:rPr>
      <w:t>#</w:t>
    </w:r>
    <w:r w:rsidR="00DC6A5D">
      <w:rPr>
        <w:b/>
        <w:bCs/>
      </w:rPr>
      <w:t>3</w:t>
    </w:r>
    <w:r w:rsidRPr="00EA1F05">
      <w:rPr>
        <w:b/>
        <w:bCs/>
      </w:rPr>
      <w:tab/>
    </w:r>
    <w:r w:rsidRPr="00EA1F05">
      <w:rPr>
        <w:b/>
        <w:bCs/>
      </w:rPr>
      <w:tab/>
    </w:r>
    <w:r w:rsidR="000E678B">
      <w:rPr>
        <w:b/>
        <w:bCs/>
      </w:rPr>
      <w:t>RSQ #</w:t>
    </w:r>
    <w:r w:rsidR="00EA1F05" w:rsidRPr="00EA1F05">
      <w:rPr>
        <w:b/>
        <w:bCs/>
      </w:rPr>
      <w:t>2</w:t>
    </w:r>
    <w:r w:rsidR="00DA4DE3">
      <w:rPr>
        <w:b/>
        <w:bCs/>
      </w:rPr>
      <w:t>5</w:t>
    </w:r>
    <w:r w:rsidR="00EA1F05" w:rsidRPr="00EA1F05">
      <w:rPr>
        <w:b/>
        <w:bCs/>
      </w:rPr>
      <w:t>-</w:t>
    </w:r>
    <w:r w:rsidR="000E678B">
      <w:rPr>
        <w:b/>
        <w:bCs/>
      </w:rPr>
      <w:t>727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8635DE"/>
    <w:multiLevelType w:val="hybridMultilevel"/>
    <w:tmpl w:val="9E162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8443E0"/>
    <w:multiLevelType w:val="hybridMultilevel"/>
    <w:tmpl w:val="63E60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F6772"/>
    <w:multiLevelType w:val="hybridMultilevel"/>
    <w:tmpl w:val="7E0E7916"/>
    <w:lvl w:ilvl="0" w:tplc="A552EF24">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A606961"/>
    <w:multiLevelType w:val="hybridMultilevel"/>
    <w:tmpl w:val="A37E9EB2"/>
    <w:lvl w:ilvl="0" w:tplc="43D6FDD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A7C0B87"/>
    <w:multiLevelType w:val="hybridMultilevel"/>
    <w:tmpl w:val="1C2069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F539E9"/>
    <w:multiLevelType w:val="multilevel"/>
    <w:tmpl w:val="02469E0A"/>
    <w:lvl w:ilvl="0">
      <w:start w:val="1"/>
      <w:numFmt w:val="decimal"/>
      <w:lvlText w:val="Q%1."/>
      <w:lvlJc w:val="left"/>
      <w:pPr>
        <w:ind w:left="720" w:hanging="360"/>
      </w:pPr>
      <w:rPr>
        <w:rFonts w:hint="default"/>
      </w:rPr>
    </w:lvl>
    <w:lvl w:ilvl="1">
      <w:start w:val="1"/>
      <w:numFmt w:val="none"/>
      <w:lvlText w:val="R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E576AC3"/>
    <w:multiLevelType w:val="hybridMultilevel"/>
    <w:tmpl w:val="583EC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BD90B57"/>
    <w:multiLevelType w:val="hybridMultilevel"/>
    <w:tmpl w:val="989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501B55"/>
    <w:multiLevelType w:val="multilevel"/>
    <w:tmpl w:val="912E0700"/>
    <w:lvl w:ilvl="0">
      <w:start w:val="1"/>
      <w:numFmt w:val="decimal"/>
      <w:lvlText w:val="Q%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9FA1DD9"/>
    <w:multiLevelType w:val="multilevel"/>
    <w:tmpl w:val="8BB410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3C00E8"/>
    <w:multiLevelType w:val="multilevel"/>
    <w:tmpl w:val="DA3CB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16"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0D1F49"/>
    <w:multiLevelType w:val="hybridMultilevel"/>
    <w:tmpl w:val="8ED290A6"/>
    <w:lvl w:ilvl="0" w:tplc="082A89C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288269665">
    <w:abstractNumId w:val="0"/>
  </w:num>
  <w:num w:numId="2" w16cid:durableId="19864184">
    <w:abstractNumId w:val="15"/>
  </w:num>
  <w:num w:numId="3" w16cid:durableId="1569223518">
    <w:abstractNumId w:val="13"/>
  </w:num>
  <w:num w:numId="4" w16cid:durableId="584000639">
    <w:abstractNumId w:val="16"/>
  </w:num>
  <w:num w:numId="5" w16cid:durableId="489567764">
    <w:abstractNumId w:val="3"/>
  </w:num>
  <w:num w:numId="6" w16cid:durableId="445973893">
    <w:abstractNumId w:val="10"/>
  </w:num>
  <w:num w:numId="7" w16cid:durableId="1036589449">
    <w:abstractNumId w:val="9"/>
  </w:num>
  <w:num w:numId="8" w16cid:durableId="767965953">
    <w:abstractNumId w:val="11"/>
  </w:num>
  <w:num w:numId="9" w16cid:durableId="1435591811">
    <w:abstractNumId w:val="7"/>
  </w:num>
  <w:num w:numId="10" w16cid:durableId="12215510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94459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277588">
    <w:abstractNumId w:val="17"/>
  </w:num>
  <w:num w:numId="13" w16cid:durableId="495190893">
    <w:abstractNumId w:val="5"/>
  </w:num>
  <w:num w:numId="14" w16cid:durableId="9692440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0797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5387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0531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40422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37582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2wZ5XEiChmOb6UVB7GLHhVXiApTksPCErfTCZNOvQuShn39838eebLvRAY455mq6+ZVtM8p5+eudwlVD5Gk3A==" w:salt="/5SepEAM+QFlo6N+ZxcWm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52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053DE"/>
    <w:rsid w:val="00022535"/>
    <w:rsid w:val="00033D45"/>
    <w:rsid w:val="000414E2"/>
    <w:rsid w:val="00043A2A"/>
    <w:rsid w:val="00046679"/>
    <w:rsid w:val="000509F0"/>
    <w:rsid w:val="00053EE2"/>
    <w:rsid w:val="00062627"/>
    <w:rsid w:val="00074459"/>
    <w:rsid w:val="00074A66"/>
    <w:rsid w:val="00082744"/>
    <w:rsid w:val="00083067"/>
    <w:rsid w:val="00083BAA"/>
    <w:rsid w:val="000946A3"/>
    <w:rsid w:val="00096A78"/>
    <w:rsid w:val="000A3D94"/>
    <w:rsid w:val="000A49A7"/>
    <w:rsid w:val="000A4CAB"/>
    <w:rsid w:val="000A52EB"/>
    <w:rsid w:val="000A7862"/>
    <w:rsid w:val="000D04A1"/>
    <w:rsid w:val="000E678B"/>
    <w:rsid w:val="000F43B5"/>
    <w:rsid w:val="00103943"/>
    <w:rsid w:val="001167AC"/>
    <w:rsid w:val="001252A5"/>
    <w:rsid w:val="00132B21"/>
    <w:rsid w:val="00140EBE"/>
    <w:rsid w:val="00160D8F"/>
    <w:rsid w:val="00181E9F"/>
    <w:rsid w:val="001841B5"/>
    <w:rsid w:val="00187610"/>
    <w:rsid w:val="00196E04"/>
    <w:rsid w:val="001B0446"/>
    <w:rsid w:val="001B5893"/>
    <w:rsid w:val="001C5C76"/>
    <w:rsid w:val="001D0E81"/>
    <w:rsid w:val="001D2C80"/>
    <w:rsid w:val="001D4B2B"/>
    <w:rsid w:val="001E5AC9"/>
    <w:rsid w:val="001F1782"/>
    <w:rsid w:val="001F5985"/>
    <w:rsid w:val="001F757A"/>
    <w:rsid w:val="002053F0"/>
    <w:rsid w:val="00224BFC"/>
    <w:rsid w:val="002315C6"/>
    <w:rsid w:val="002320AE"/>
    <w:rsid w:val="00236509"/>
    <w:rsid w:val="00241DF8"/>
    <w:rsid w:val="002460D7"/>
    <w:rsid w:val="002536F8"/>
    <w:rsid w:val="0025668B"/>
    <w:rsid w:val="00265B2E"/>
    <w:rsid w:val="00271D07"/>
    <w:rsid w:val="002735DD"/>
    <w:rsid w:val="0027455F"/>
    <w:rsid w:val="002763BF"/>
    <w:rsid w:val="002815E8"/>
    <w:rsid w:val="0029713F"/>
    <w:rsid w:val="002B2528"/>
    <w:rsid w:val="002B4C53"/>
    <w:rsid w:val="002D369E"/>
    <w:rsid w:val="002D4C1C"/>
    <w:rsid w:val="002E2E2C"/>
    <w:rsid w:val="002E62DB"/>
    <w:rsid w:val="002F3B18"/>
    <w:rsid w:val="003016A9"/>
    <w:rsid w:val="003102BF"/>
    <w:rsid w:val="00330218"/>
    <w:rsid w:val="00345D8F"/>
    <w:rsid w:val="00347217"/>
    <w:rsid w:val="0034755A"/>
    <w:rsid w:val="00362BF4"/>
    <w:rsid w:val="0036641A"/>
    <w:rsid w:val="00374885"/>
    <w:rsid w:val="00385A10"/>
    <w:rsid w:val="0038787D"/>
    <w:rsid w:val="003A18D7"/>
    <w:rsid w:val="003A632F"/>
    <w:rsid w:val="003A7DCC"/>
    <w:rsid w:val="003B5832"/>
    <w:rsid w:val="003B7C83"/>
    <w:rsid w:val="003F09B1"/>
    <w:rsid w:val="003F206F"/>
    <w:rsid w:val="003F2FBF"/>
    <w:rsid w:val="003F6E82"/>
    <w:rsid w:val="003F7609"/>
    <w:rsid w:val="00402147"/>
    <w:rsid w:val="004131A7"/>
    <w:rsid w:val="0042459A"/>
    <w:rsid w:val="00426BCD"/>
    <w:rsid w:val="00436011"/>
    <w:rsid w:val="004608E6"/>
    <w:rsid w:val="00464CAE"/>
    <w:rsid w:val="0048032D"/>
    <w:rsid w:val="004B187B"/>
    <w:rsid w:val="004B1918"/>
    <w:rsid w:val="004C3C70"/>
    <w:rsid w:val="004C49A5"/>
    <w:rsid w:val="004E3EE4"/>
    <w:rsid w:val="004F17D9"/>
    <w:rsid w:val="0050375E"/>
    <w:rsid w:val="005055D3"/>
    <w:rsid w:val="00517FFC"/>
    <w:rsid w:val="00523D30"/>
    <w:rsid w:val="00525414"/>
    <w:rsid w:val="00525FD8"/>
    <w:rsid w:val="0052661D"/>
    <w:rsid w:val="0057065C"/>
    <w:rsid w:val="005707DB"/>
    <w:rsid w:val="00575ADC"/>
    <w:rsid w:val="005B37C1"/>
    <w:rsid w:val="005B7FFD"/>
    <w:rsid w:val="005C43BF"/>
    <w:rsid w:val="005D3CB7"/>
    <w:rsid w:val="00603ED8"/>
    <w:rsid w:val="00605C06"/>
    <w:rsid w:val="0061414A"/>
    <w:rsid w:val="00630A71"/>
    <w:rsid w:val="0064276A"/>
    <w:rsid w:val="00653049"/>
    <w:rsid w:val="006564E6"/>
    <w:rsid w:val="00660CA2"/>
    <w:rsid w:val="006725EC"/>
    <w:rsid w:val="0069382C"/>
    <w:rsid w:val="006D01D2"/>
    <w:rsid w:val="006D745E"/>
    <w:rsid w:val="006E0943"/>
    <w:rsid w:val="00706554"/>
    <w:rsid w:val="00707723"/>
    <w:rsid w:val="00710E05"/>
    <w:rsid w:val="007124B6"/>
    <w:rsid w:val="00716CC8"/>
    <w:rsid w:val="007368C3"/>
    <w:rsid w:val="00760322"/>
    <w:rsid w:val="00783163"/>
    <w:rsid w:val="00785DA3"/>
    <w:rsid w:val="007A5299"/>
    <w:rsid w:val="007E7BB7"/>
    <w:rsid w:val="007F6F6F"/>
    <w:rsid w:val="0080285B"/>
    <w:rsid w:val="0080437C"/>
    <w:rsid w:val="00804ECA"/>
    <w:rsid w:val="00807860"/>
    <w:rsid w:val="00830EBE"/>
    <w:rsid w:val="00831988"/>
    <w:rsid w:val="00837F13"/>
    <w:rsid w:val="008428B7"/>
    <w:rsid w:val="00845236"/>
    <w:rsid w:val="008505AA"/>
    <w:rsid w:val="00855896"/>
    <w:rsid w:val="00874D61"/>
    <w:rsid w:val="0087510B"/>
    <w:rsid w:val="008762A3"/>
    <w:rsid w:val="00884FB7"/>
    <w:rsid w:val="008B5A62"/>
    <w:rsid w:val="008C2F2A"/>
    <w:rsid w:val="008E18D1"/>
    <w:rsid w:val="008E271C"/>
    <w:rsid w:val="008E5F15"/>
    <w:rsid w:val="008F3A92"/>
    <w:rsid w:val="00910378"/>
    <w:rsid w:val="00910642"/>
    <w:rsid w:val="0091352D"/>
    <w:rsid w:val="0091430A"/>
    <w:rsid w:val="009152CD"/>
    <w:rsid w:val="00932678"/>
    <w:rsid w:val="00933424"/>
    <w:rsid w:val="00954EAB"/>
    <w:rsid w:val="0096447D"/>
    <w:rsid w:val="00992C79"/>
    <w:rsid w:val="00997447"/>
    <w:rsid w:val="009A5699"/>
    <w:rsid w:val="009A68A8"/>
    <w:rsid w:val="009D2D83"/>
    <w:rsid w:val="009D66F5"/>
    <w:rsid w:val="009E2A73"/>
    <w:rsid w:val="009E4371"/>
    <w:rsid w:val="009F6C19"/>
    <w:rsid w:val="00A07B66"/>
    <w:rsid w:val="00A2718B"/>
    <w:rsid w:val="00A32AF0"/>
    <w:rsid w:val="00A34AFE"/>
    <w:rsid w:val="00A3765E"/>
    <w:rsid w:val="00A5510B"/>
    <w:rsid w:val="00A6185C"/>
    <w:rsid w:val="00A72CF3"/>
    <w:rsid w:val="00A72F3F"/>
    <w:rsid w:val="00A87373"/>
    <w:rsid w:val="00A93012"/>
    <w:rsid w:val="00AA0309"/>
    <w:rsid w:val="00AA2A5A"/>
    <w:rsid w:val="00AC4381"/>
    <w:rsid w:val="00AD002F"/>
    <w:rsid w:val="00AD4A23"/>
    <w:rsid w:val="00AE7A18"/>
    <w:rsid w:val="00B06370"/>
    <w:rsid w:val="00B07A7F"/>
    <w:rsid w:val="00B60E88"/>
    <w:rsid w:val="00B64F84"/>
    <w:rsid w:val="00B70B00"/>
    <w:rsid w:val="00B74784"/>
    <w:rsid w:val="00B82A39"/>
    <w:rsid w:val="00B97D79"/>
    <w:rsid w:val="00BA544F"/>
    <w:rsid w:val="00BB2EED"/>
    <w:rsid w:val="00BC4665"/>
    <w:rsid w:val="00BC4CFC"/>
    <w:rsid w:val="00BC53F6"/>
    <w:rsid w:val="00BD7B4A"/>
    <w:rsid w:val="00BF0C3E"/>
    <w:rsid w:val="00BF1A10"/>
    <w:rsid w:val="00BF263B"/>
    <w:rsid w:val="00C02B93"/>
    <w:rsid w:val="00C04BF9"/>
    <w:rsid w:val="00C07D27"/>
    <w:rsid w:val="00C20D39"/>
    <w:rsid w:val="00C3031B"/>
    <w:rsid w:val="00C3193A"/>
    <w:rsid w:val="00C351C9"/>
    <w:rsid w:val="00C361CD"/>
    <w:rsid w:val="00C518D9"/>
    <w:rsid w:val="00C5202C"/>
    <w:rsid w:val="00C523CA"/>
    <w:rsid w:val="00C54A24"/>
    <w:rsid w:val="00C54BBE"/>
    <w:rsid w:val="00C65E0D"/>
    <w:rsid w:val="00C66A0C"/>
    <w:rsid w:val="00C83188"/>
    <w:rsid w:val="00C95E9D"/>
    <w:rsid w:val="00CA1A27"/>
    <w:rsid w:val="00CB1B38"/>
    <w:rsid w:val="00CC306A"/>
    <w:rsid w:val="00CC4FF2"/>
    <w:rsid w:val="00CD038E"/>
    <w:rsid w:val="00CE0010"/>
    <w:rsid w:val="00CF68E6"/>
    <w:rsid w:val="00D01ADF"/>
    <w:rsid w:val="00D17F8A"/>
    <w:rsid w:val="00D20816"/>
    <w:rsid w:val="00D258A9"/>
    <w:rsid w:val="00D423B6"/>
    <w:rsid w:val="00D4336C"/>
    <w:rsid w:val="00D454B6"/>
    <w:rsid w:val="00D52BE7"/>
    <w:rsid w:val="00D930EA"/>
    <w:rsid w:val="00D95E7A"/>
    <w:rsid w:val="00DA4DE3"/>
    <w:rsid w:val="00DB7FA9"/>
    <w:rsid w:val="00DC457D"/>
    <w:rsid w:val="00DC68A5"/>
    <w:rsid w:val="00DC6A5D"/>
    <w:rsid w:val="00DD2371"/>
    <w:rsid w:val="00DD4532"/>
    <w:rsid w:val="00E12DB6"/>
    <w:rsid w:val="00E279F9"/>
    <w:rsid w:val="00E531E3"/>
    <w:rsid w:val="00E5490D"/>
    <w:rsid w:val="00E54A57"/>
    <w:rsid w:val="00E63776"/>
    <w:rsid w:val="00E63B77"/>
    <w:rsid w:val="00E67FF6"/>
    <w:rsid w:val="00E82801"/>
    <w:rsid w:val="00E925C6"/>
    <w:rsid w:val="00EA1F05"/>
    <w:rsid w:val="00EB25CE"/>
    <w:rsid w:val="00EC090F"/>
    <w:rsid w:val="00EE17FC"/>
    <w:rsid w:val="00EE3D54"/>
    <w:rsid w:val="00EF5966"/>
    <w:rsid w:val="00F02DD9"/>
    <w:rsid w:val="00F07C3F"/>
    <w:rsid w:val="00F1278D"/>
    <w:rsid w:val="00F20605"/>
    <w:rsid w:val="00F26946"/>
    <w:rsid w:val="00F30929"/>
    <w:rsid w:val="00F46047"/>
    <w:rsid w:val="00F55809"/>
    <w:rsid w:val="00F60805"/>
    <w:rsid w:val="00F75E41"/>
    <w:rsid w:val="00F8073B"/>
    <w:rsid w:val="00F85D57"/>
    <w:rsid w:val="00F965D9"/>
    <w:rsid w:val="00FA6F92"/>
    <w:rsid w:val="00FB2D28"/>
    <w:rsid w:val="00FB3549"/>
    <w:rsid w:val="00FB3906"/>
    <w:rsid w:val="00FC0EE2"/>
    <w:rsid w:val="00FC302F"/>
    <w:rsid w:val="00FD5F86"/>
    <w:rsid w:val="00FF5F83"/>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 w:type="paragraph" w:customStyle="1" w:styleId="xxmsolistparagraph">
    <w:name w:val="x_xmsolistparagraph"/>
    <w:basedOn w:val="Normal"/>
    <w:rsid w:val="00E63B77"/>
    <w:pPr>
      <w:widowControl/>
      <w:ind w:left="720"/>
    </w:pPr>
    <w:rPr>
      <w:rFonts w:ascii="Aptos" w:eastAsiaTheme="minorHAnsi" w:hAnsi="Aptos" w:cs="Aptos"/>
      <w:snapToGrid/>
      <w:szCs w:val="24"/>
    </w:rPr>
  </w:style>
  <w:style w:type="paragraph" w:customStyle="1" w:styleId="xmsonormal">
    <w:name w:val="x_msonormal"/>
    <w:basedOn w:val="Normal"/>
    <w:rsid w:val="003102BF"/>
    <w:pPr>
      <w:widowControl/>
    </w:pPr>
    <w:rPr>
      <w:rFonts w:ascii="Aptos" w:eastAsiaTheme="minorHAnsi" w:hAnsi="Aptos" w:cs="Aptos"/>
      <w:snapToGrid/>
      <w:szCs w:val="24"/>
    </w:rPr>
  </w:style>
  <w:style w:type="paragraph" w:customStyle="1" w:styleId="my-0">
    <w:name w:val="my-0"/>
    <w:basedOn w:val="Normal"/>
    <w:rsid w:val="00374885"/>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55054032">
      <w:bodyDiv w:val="1"/>
      <w:marLeft w:val="0"/>
      <w:marRight w:val="0"/>
      <w:marTop w:val="0"/>
      <w:marBottom w:val="0"/>
      <w:divBdr>
        <w:top w:val="none" w:sz="0" w:space="0" w:color="auto"/>
        <w:left w:val="none" w:sz="0" w:space="0" w:color="auto"/>
        <w:bottom w:val="none" w:sz="0" w:space="0" w:color="auto"/>
        <w:right w:val="none" w:sz="0" w:space="0" w:color="auto"/>
      </w:divBdr>
    </w:div>
    <w:div w:id="66539744">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477236014">
      <w:bodyDiv w:val="1"/>
      <w:marLeft w:val="0"/>
      <w:marRight w:val="0"/>
      <w:marTop w:val="0"/>
      <w:marBottom w:val="0"/>
      <w:divBdr>
        <w:top w:val="none" w:sz="0" w:space="0" w:color="auto"/>
        <w:left w:val="none" w:sz="0" w:space="0" w:color="auto"/>
        <w:bottom w:val="none" w:sz="0" w:space="0" w:color="auto"/>
        <w:right w:val="none" w:sz="0" w:space="0" w:color="auto"/>
      </w:divBdr>
    </w:div>
    <w:div w:id="58951066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613169276">
      <w:bodyDiv w:val="1"/>
      <w:marLeft w:val="0"/>
      <w:marRight w:val="0"/>
      <w:marTop w:val="0"/>
      <w:marBottom w:val="0"/>
      <w:divBdr>
        <w:top w:val="none" w:sz="0" w:space="0" w:color="auto"/>
        <w:left w:val="none" w:sz="0" w:space="0" w:color="auto"/>
        <w:bottom w:val="none" w:sz="0" w:space="0" w:color="auto"/>
        <w:right w:val="none" w:sz="0" w:space="0" w:color="auto"/>
      </w:divBdr>
    </w:div>
    <w:div w:id="736050034">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286350470">
      <w:bodyDiv w:val="1"/>
      <w:marLeft w:val="0"/>
      <w:marRight w:val="0"/>
      <w:marTop w:val="0"/>
      <w:marBottom w:val="0"/>
      <w:divBdr>
        <w:top w:val="none" w:sz="0" w:space="0" w:color="auto"/>
        <w:left w:val="none" w:sz="0" w:space="0" w:color="auto"/>
        <w:bottom w:val="none" w:sz="0" w:space="0" w:color="auto"/>
        <w:right w:val="none" w:sz="0" w:space="0" w:color="auto"/>
      </w:divBdr>
    </w:div>
    <w:div w:id="1318337124">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855531653">
      <w:bodyDiv w:val="1"/>
      <w:marLeft w:val="0"/>
      <w:marRight w:val="0"/>
      <w:marTop w:val="0"/>
      <w:marBottom w:val="0"/>
      <w:divBdr>
        <w:top w:val="none" w:sz="0" w:space="0" w:color="auto"/>
        <w:left w:val="none" w:sz="0" w:space="0" w:color="auto"/>
        <w:bottom w:val="none" w:sz="0" w:space="0" w:color="auto"/>
        <w:right w:val="none" w:sz="0" w:space="0" w:color="auto"/>
      </w:divBdr>
    </w:div>
    <w:div w:id="1910651737">
      <w:bodyDiv w:val="1"/>
      <w:marLeft w:val="0"/>
      <w:marRight w:val="0"/>
      <w:marTop w:val="0"/>
      <w:marBottom w:val="0"/>
      <w:divBdr>
        <w:top w:val="none" w:sz="0" w:space="0" w:color="auto"/>
        <w:left w:val="none" w:sz="0" w:space="0" w:color="auto"/>
        <w:bottom w:val="none" w:sz="0" w:space="0" w:color="auto"/>
        <w:right w:val="none" w:sz="0" w:space="0" w:color="auto"/>
      </w:divBdr>
    </w:div>
    <w:div w:id="1930263152">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cbcc.sharepoint.com/:f:/s/Procurement/Eq92MCrj9WNOj4xy0RPr85QB12Hl0XEUVwHMvRFxcTrOLQ?e=1Atz7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cbcc.sharepoint.com/:f:/s/Procurement/Eq92MCrj9WNOj4xy0RPr85QB12Hl0XEUVwHMvRFxcTrOLQ?e=1Atz78"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D0E81"/>
    <w:rsid w:val="00265B2E"/>
    <w:rsid w:val="003B7C83"/>
    <w:rsid w:val="0048083F"/>
    <w:rsid w:val="004E3EE4"/>
    <w:rsid w:val="005247F9"/>
    <w:rsid w:val="007E7BB7"/>
    <w:rsid w:val="008F6B69"/>
    <w:rsid w:val="00925724"/>
    <w:rsid w:val="0096447D"/>
    <w:rsid w:val="00A3765E"/>
    <w:rsid w:val="00A72CF3"/>
    <w:rsid w:val="00C361CD"/>
    <w:rsid w:val="00D930EA"/>
    <w:rsid w:val="00D95E7A"/>
    <w:rsid w:val="00E82801"/>
    <w:rsid w:val="00FC0EE2"/>
    <w:rsid w:val="00FF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2.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customXml/itemProps3.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3</Pages>
  <Words>1080</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Falanga, Ron</cp:lastModifiedBy>
  <cp:revision>40</cp:revision>
  <cp:lastPrinted>2020-04-01T15:04:00Z</cp:lastPrinted>
  <dcterms:created xsi:type="dcterms:W3CDTF">2020-04-08T13:16:00Z</dcterms:created>
  <dcterms:modified xsi:type="dcterms:W3CDTF">2025-07-29T18:46:00Z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