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0168465E">
            <wp:extent cx="1152152" cy="946150"/>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9499" cy="952183"/>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7D085199" w:rsidR="00EF5966" w:rsidRPr="00CD038E" w:rsidRDefault="00EA1F05" w:rsidP="00D258A9">
      <w:pPr>
        <w:tabs>
          <w:tab w:val="left" w:pos="7020"/>
        </w:tabs>
        <w:rPr>
          <w:szCs w:val="24"/>
        </w:rPr>
      </w:pPr>
      <w:r>
        <w:rPr>
          <w:b/>
          <w:szCs w:val="24"/>
        </w:rPr>
        <w:t xml:space="preserve">SOLICTATION: </w:t>
      </w:r>
      <w:r w:rsidR="00E6415E">
        <w:rPr>
          <w:bCs/>
          <w:szCs w:val="24"/>
        </w:rPr>
        <w:t>CEI Services of Citrus Grove Rd PHII</w:t>
      </w:r>
      <w:r w:rsidR="00E6415E">
        <w:rPr>
          <w:bCs/>
          <w:szCs w:val="24"/>
        </w:rPr>
        <w:tab/>
      </w:r>
      <w:r w:rsidR="00E6415E">
        <w:rPr>
          <w:bCs/>
          <w:szCs w:val="24"/>
        </w:rPr>
        <w:tab/>
      </w:r>
      <w:r w:rsidR="00E6415E">
        <w:rPr>
          <w:bCs/>
          <w:szCs w:val="24"/>
        </w:rPr>
        <w:tab/>
      </w:r>
      <w:r w:rsidR="00E6415E">
        <w:rPr>
          <w:bCs/>
          <w:szCs w:val="24"/>
        </w:rPr>
        <w:tab/>
      </w:r>
      <w:r w:rsidR="00E6415E" w:rsidRPr="00E6415E">
        <w:rPr>
          <w:szCs w:val="24"/>
        </w:rPr>
        <w:t>1</w:t>
      </w:r>
      <w:r w:rsidR="00C11F22">
        <w:rPr>
          <w:szCs w:val="24"/>
        </w:rPr>
        <w:t>2</w:t>
      </w:r>
      <w:r w:rsidR="00C3031B" w:rsidRPr="00E6415E">
        <w:rPr>
          <w:szCs w:val="24"/>
        </w:rPr>
        <w:t>/</w:t>
      </w:r>
      <w:r w:rsidR="00C11F22">
        <w:rPr>
          <w:szCs w:val="24"/>
        </w:rPr>
        <w:t>0</w:t>
      </w:r>
      <w:r w:rsidR="00A00582">
        <w:rPr>
          <w:szCs w:val="24"/>
        </w:rPr>
        <w:t>4</w:t>
      </w:r>
      <w:r w:rsidR="00C3031B">
        <w:rPr>
          <w:szCs w:val="24"/>
        </w:rPr>
        <w:t>/202</w:t>
      </w:r>
      <w:r w:rsidR="005B5D89">
        <w:rPr>
          <w:szCs w:val="24"/>
        </w:rPr>
        <w:t>4</w:t>
      </w:r>
    </w:p>
    <w:p w14:paraId="6B289673" w14:textId="77777777" w:rsidR="006D745E" w:rsidRPr="00A00582" w:rsidRDefault="006D745E" w:rsidP="008762A3">
      <w:pPr>
        <w:jc w:val="center"/>
        <w:rPr>
          <w:b/>
          <w:sz w:val="12"/>
          <w:szCs w:val="12"/>
        </w:rPr>
      </w:pPr>
    </w:p>
    <w:p w14:paraId="33560EC3" w14:textId="0979A285" w:rsidR="00B82A39" w:rsidRPr="00CD038E" w:rsidRDefault="00B82A39" w:rsidP="00A00582">
      <w:pPr>
        <w:spacing w:after="12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A00582">
      <w:pPr>
        <w:pStyle w:val="Default"/>
        <w:tabs>
          <w:tab w:val="left" w:pos="360"/>
        </w:tabs>
        <w:spacing w:after="120"/>
        <w:ind w:left="360"/>
      </w:pPr>
      <w:r w:rsidRPr="008E5F15">
        <w:t>THIS ADDENDUM DOES NOT CHANGE THE DATE FOR RECEIPT OF PROPOSALS.</w:t>
      </w:r>
    </w:p>
    <w:p w14:paraId="5C1CD418" w14:textId="0E45739E" w:rsidR="00EA1F05" w:rsidRPr="00EA1F05" w:rsidRDefault="00EA1F05" w:rsidP="00A00582">
      <w:pPr>
        <w:pStyle w:val="Default"/>
        <w:tabs>
          <w:tab w:val="left" w:pos="360"/>
        </w:tabs>
        <w:spacing w:after="120"/>
        <w:rPr>
          <w:b/>
          <w:bCs/>
          <w:u w:val="single"/>
        </w:rPr>
      </w:pPr>
      <w:r w:rsidRPr="00EA1F05">
        <w:rPr>
          <w:b/>
          <w:bCs/>
          <w:u w:val="single"/>
        </w:rPr>
        <w:t>QUESTIONS/RESPONSES</w:t>
      </w:r>
    </w:p>
    <w:p w14:paraId="09CB4EC4" w14:textId="3EB7F966" w:rsidR="006A34AD" w:rsidRPr="006A34AD" w:rsidRDefault="00612DBC" w:rsidP="0032306D">
      <w:pPr>
        <w:tabs>
          <w:tab w:val="left" w:pos="900"/>
        </w:tabs>
        <w:spacing w:after="120"/>
        <w:jc w:val="both"/>
        <w:rPr>
          <w:color w:val="000000"/>
          <w:szCs w:val="24"/>
        </w:rPr>
      </w:pPr>
      <w:r>
        <w:rPr>
          <w:color w:val="000000"/>
          <w:szCs w:val="24"/>
        </w:rPr>
        <w:t>Q</w:t>
      </w:r>
      <w:r w:rsidR="00F870AB">
        <w:rPr>
          <w:color w:val="000000"/>
          <w:szCs w:val="24"/>
        </w:rPr>
        <w:t>2.</w:t>
      </w:r>
      <w:r w:rsidR="00CC59FC">
        <w:rPr>
          <w:color w:val="000000"/>
          <w:szCs w:val="24"/>
        </w:rPr>
        <w:t xml:space="preserve"> </w:t>
      </w:r>
      <w:r w:rsidR="00F870AB" w:rsidRPr="00612DBC">
        <w:rPr>
          <w:color w:val="000000"/>
          <w:szCs w:val="24"/>
        </w:rPr>
        <w:t>What</w:t>
      </w:r>
      <w:r w:rsidRPr="00612DBC">
        <w:rPr>
          <w:color w:val="000000"/>
          <w:szCs w:val="24"/>
        </w:rPr>
        <w:t xml:space="preserve"> is the construction letting timeline for Citrus Grove Road Phase II?</w:t>
      </w:r>
    </w:p>
    <w:p w14:paraId="502707AC" w14:textId="7BD98435" w:rsidR="002D4C1C" w:rsidRPr="00F870AB" w:rsidRDefault="00F870AB" w:rsidP="0032306D">
      <w:pPr>
        <w:spacing w:after="120"/>
        <w:ind w:left="532" w:hanging="446"/>
        <w:jc w:val="both"/>
        <w:rPr>
          <w:b/>
          <w:bCs/>
          <w:color w:val="000000"/>
          <w:szCs w:val="24"/>
        </w:rPr>
      </w:pPr>
      <w:r>
        <w:rPr>
          <w:b/>
          <w:bCs/>
          <w:color w:val="000000"/>
          <w:szCs w:val="24"/>
        </w:rPr>
        <w:t xml:space="preserve">A2. </w:t>
      </w:r>
      <w:r w:rsidR="006A34AD" w:rsidRPr="00F870AB">
        <w:rPr>
          <w:b/>
          <w:bCs/>
          <w:color w:val="000000"/>
          <w:szCs w:val="24"/>
        </w:rPr>
        <w:t>February – March 2025</w:t>
      </w:r>
      <w:r w:rsidR="00612DBC" w:rsidRPr="00F870AB">
        <w:rPr>
          <w:b/>
          <w:bCs/>
          <w:color w:val="000000"/>
          <w:szCs w:val="24"/>
        </w:rPr>
        <w:t xml:space="preserve"> </w:t>
      </w:r>
    </w:p>
    <w:p w14:paraId="18076938" w14:textId="79FDC4BA" w:rsidR="00F870AB" w:rsidRPr="00F870AB" w:rsidRDefault="00F870AB" w:rsidP="00751ACF">
      <w:pPr>
        <w:spacing w:after="120"/>
        <w:ind w:left="450" w:hanging="450"/>
        <w:rPr>
          <w:snapToGrid/>
          <w:sz w:val="22"/>
        </w:rPr>
      </w:pPr>
      <w:r w:rsidRPr="00F870AB">
        <w:rPr>
          <w:color w:val="000000"/>
          <w:szCs w:val="24"/>
        </w:rPr>
        <w:t>Q3</w:t>
      </w:r>
      <w:r w:rsidRPr="00F870AB">
        <w:rPr>
          <w:b/>
          <w:bCs/>
          <w:color w:val="000000"/>
          <w:szCs w:val="24"/>
        </w:rPr>
        <w:t>.</w:t>
      </w:r>
      <w:r w:rsidR="00CC59FC">
        <w:rPr>
          <w:b/>
          <w:bCs/>
          <w:color w:val="000000"/>
          <w:szCs w:val="24"/>
        </w:rPr>
        <w:t xml:space="preserve"> </w:t>
      </w:r>
      <w:r w:rsidRPr="00F870AB">
        <w:t xml:space="preserve">Are written agreements or Utility Work Schedules (UWS) with the UAOs available for review?  If not, are the utility relocations planned to be completed before or during the project construction? </w:t>
      </w:r>
    </w:p>
    <w:p w14:paraId="0747D079" w14:textId="25021F58" w:rsidR="00F870AB" w:rsidRPr="00F870AB" w:rsidRDefault="00F870AB" w:rsidP="0032306D">
      <w:pPr>
        <w:spacing w:after="120"/>
        <w:ind w:left="532" w:hanging="446"/>
        <w:rPr>
          <w:b/>
          <w:bCs/>
          <w:snapToGrid/>
          <w:color w:val="000000" w:themeColor="text1"/>
          <w:szCs w:val="24"/>
        </w:rPr>
      </w:pPr>
      <w:r>
        <w:rPr>
          <w:b/>
          <w:bCs/>
          <w:color w:val="000000" w:themeColor="text1"/>
          <w:szCs w:val="24"/>
        </w:rPr>
        <w:t xml:space="preserve">A3. </w:t>
      </w:r>
      <w:r w:rsidRPr="00F870AB">
        <w:rPr>
          <w:b/>
          <w:bCs/>
          <w:color w:val="000000" w:themeColor="text1"/>
          <w:szCs w:val="24"/>
        </w:rPr>
        <w:t>There are no UWS completed.  Utility relocated will be performed during the project construction.</w:t>
      </w:r>
    </w:p>
    <w:p w14:paraId="445A6989" w14:textId="67BA288E" w:rsidR="00F870AB" w:rsidRPr="00F870AB" w:rsidRDefault="00F870AB" w:rsidP="0032306D">
      <w:pPr>
        <w:spacing w:after="120"/>
        <w:rPr>
          <w:snapToGrid/>
          <w:sz w:val="22"/>
        </w:rPr>
      </w:pPr>
      <w:r w:rsidRPr="00F870AB">
        <w:rPr>
          <w:color w:val="000000"/>
          <w:szCs w:val="24"/>
        </w:rPr>
        <w:t>Q4.</w:t>
      </w:r>
      <w:r w:rsidR="00CC59FC">
        <w:rPr>
          <w:color w:val="000000"/>
          <w:szCs w:val="24"/>
        </w:rPr>
        <w:t xml:space="preserve"> </w:t>
      </w:r>
      <w:r w:rsidRPr="00F870AB">
        <w:t xml:space="preserve">How many construction contract days have been estimated for project completion? </w:t>
      </w:r>
    </w:p>
    <w:p w14:paraId="68B96623" w14:textId="77777777" w:rsidR="00F870AB" w:rsidRDefault="00F870AB" w:rsidP="0032306D">
      <w:pPr>
        <w:spacing w:after="120"/>
        <w:ind w:left="532" w:hanging="446"/>
        <w:rPr>
          <w:b/>
          <w:bCs/>
          <w:color w:val="000000" w:themeColor="text1"/>
        </w:rPr>
      </w:pPr>
      <w:r>
        <w:rPr>
          <w:b/>
          <w:bCs/>
          <w:color w:val="000000"/>
          <w:szCs w:val="24"/>
        </w:rPr>
        <w:t xml:space="preserve">A4. </w:t>
      </w:r>
      <w:r w:rsidRPr="00F870AB">
        <w:rPr>
          <w:b/>
          <w:bCs/>
          <w:color w:val="000000" w:themeColor="text1"/>
        </w:rPr>
        <w:t>An estimate of project completion has not been prepared.</w:t>
      </w:r>
    </w:p>
    <w:p w14:paraId="266612ED" w14:textId="425C5246" w:rsidR="00F870AB" w:rsidRDefault="00F870AB" w:rsidP="0032306D">
      <w:pPr>
        <w:spacing w:after="120"/>
        <w:ind w:left="450" w:hanging="450"/>
      </w:pPr>
      <w:r w:rsidRPr="00F870AB">
        <w:rPr>
          <w:color w:val="000000"/>
          <w:szCs w:val="24"/>
        </w:rPr>
        <w:t>Q5.</w:t>
      </w:r>
      <w:r w:rsidR="00CC59FC">
        <w:rPr>
          <w:b/>
          <w:bCs/>
          <w:snapToGrid/>
          <w:color w:val="000000" w:themeColor="text1"/>
          <w:sz w:val="22"/>
        </w:rPr>
        <w:t xml:space="preserve"> </w:t>
      </w:r>
      <w:r w:rsidRPr="00F870AB">
        <w:t>Will FDOT provide the selected CEI consultant access to any of their software (e.g., MAC, PrC), or will the selected CEI consultant be responsible for utilizing non-FDOT software?</w:t>
      </w:r>
    </w:p>
    <w:p w14:paraId="0165EB2B" w14:textId="02D968DF" w:rsidR="00F870AB" w:rsidRDefault="00F870AB" w:rsidP="0032306D">
      <w:pPr>
        <w:spacing w:after="120"/>
        <w:ind w:left="518" w:hanging="446"/>
        <w:rPr>
          <w:b/>
          <w:bCs/>
          <w:color w:val="000000" w:themeColor="text1"/>
        </w:rPr>
      </w:pPr>
      <w:r w:rsidRPr="00F870AB">
        <w:rPr>
          <w:b/>
          <w:bCs/>
        </w:rPr>
        <w:t>A5. S</w:t>
      </w:r>
      <w:r w:rsidRPr="00F870AB">
        <w:rPr>
          <w:b/>
          <w:bCs/>
          <w:color w:val="000000" w:themeColor="text1"/>
        </w:rPr>
        <w:t>elected CEI consultant be responsible for utilizing non-FDOT software.</w:t>
      </w:r>
    </w:p>
    <w:p w14:paraId="36168603" w14:textId="5CCC8B5B" w:rsidR="00F34B9A" w:rsidRDefault="00F34B9A" w:rsidP="0032306D">
      <w:pPr>
        <w:spacing w:after="120"/>
      </w:pPr>
      <w:r w:rsidRPr="00F34B9A">
        <w:t>Q6.</w:t>
      </w:r>
      <w:r w:rsidR="00CC59FC">
        <w:t xml:space="preserve"> </w:t>
      </w:r>
      <w:r w:rsidRPr="00F34B9A">
        <w:t>What is the construction cost for this project?</w:t>
      </w:r>
    </w:p>
    <w:p w14:paraId="35A74DD1" w14:textId="65EA123B" w:rsidR="00F34B9A" w:rsidRPr="00F34B9A" w:rsidRDefault="00F34B9A" w:rsidP="0032306D">
      <w:pPr>
        <w:spacing w:after="120"/>
        <w:ind w:left="518" w:hanging="446"/>
        <w:rPr>
          <w:b/>
          <w:bCs/>
          <w:snapToGrid/>
          <w:sz w:val="22"/>
        </w:rPr>
      </w:pPr>
      <w:r w:rsidRPr="00F34B9A">
        <w:rPr>
          <w:b/>
          <w:bCs/>
        </w:rPr>
        <w:t>A6.</w:t>
      </w:r>
      <w:r w:rsidR="002D2C2E">
        <w:rPr>
          <w:b/>
          <w:bCs/>
        </w:rPr>
        <w:t xml:space="preserve"> $20 million</w:t>
      </w:r>
    </w:p>
    <w:p w14:paraId="191FE0C8" w14:textId="76E1730D" w:rsidR="00F34B9A" w:rsidRDefault="00F34B9A" w:rsidP="0032306D">
      <w:pPr>
        <w:spacing w:after="120"/>
      </w:pPr>
      <w:r w:rsidRPr="00F34B9A">
        <w:t>Q7.</w:t>
      </w:r>
      <w:r w:rsidR="00CC59FC">
        <w:t xml:space="preserve"> </w:t>
      </w:r>
      <w:r w:rsidRPr="00F34B9A">
        <w:t>What is the CEI fee for this project?</w:t>
      </w:r>
    </w:p>
    <w:p w14:paraId="3741AD7E" w14:textId="3BAE5F47" w:rsidR="00F34B9A" w:rsidRPr="00F34B9A" w:rsidRDefault="00F34B9A" w:rsidP="0032306D">
      <w:pPr>
        <w:spacing w:after="120"/>
        <w:ind w:left="518" w:hanging="446"/>
        <w:rPr>
          <w:b/>
          <w:bCs/>
        </w:rPr>
      </w:pPr>
      <w:r w:rsidRPr="00F34B9A">
        <w:rPr>
          <w:b/>
          <w:bCs/>
        </w:rPr>
        <w:t>A7.</w:t>
      </w:r>
      <w:r w:rsidR="00CC59FC">
        <w:rPr>
          <w:b/>
          <w:bCs/>
        </w:rPr>
        <w:t xml:space="preserve"> </w:t>
      </w:r>
      <w:r w:rsidR="002D2C2E">
        <w:rPr>
          <w:b/>
          <w:bCs/>
        </w:rPr>
        <w:t>$1 million</w:t>
      </w:r>
    </w:p>
    <w:p w14:paraId="76FF1B44" w14:textId="6918EF15" w:rsidR="00F34B9A" w:rsidRDefault="00F34B9A" w:rsidP="0032306D">
      <w:pPr>
        <w:spacing w:after="120"/>
      </w:pPr>
      <w:r w:rsidRPr="00F34B9A">
        <w:t>Q8.</w:t>
      </w:r>
      <w:r w:rsidR="00CC59FC">
        <w:t xml:space="preserve"> </w:t>
      </w:r>
      <w:r w:rsidRPr="00F34B9A">
        <w:t>What is the estimated start date?</w:t>
      </w:r>
    </w:p>
    <w:p w14:paraId="6DACF187" w14:textId="0EA6AD92" w:rsidR="00F34B9A" w:rsidRPr="00F34B9A" w:rsidRDefault="00F34B9A" w:rsidP="0032306D">
      <w:pPr>
        <w:spacing w:after="120"/>
        <w:ind w:left="518" w:hanging="446"/>
        <w:rPr>
          <w:b/>
          <w:bCs/>
        </w:rPr>
      </w:pPr>
      <w:r w:rsidRPr="00F34B9A">
        <w:rPr>
          <w:b/>
          <w:bCs/>
        </w:rPr>
        <w:t>A8.</w:t>
      </w:r>
      <w:r w:rsidR="00CC59FC">
        <w:rPr>
          <w:b/>
          <w:bCs/>
        </w:rPr>
        <w:t xml:space="preserve"> </w:t>
      </w:r>
      <w:r w:rsidR="002D2C2E">
        <w:rPr>
          <w:b/>
          <w:bCs/>
        </w:rPr>
        <w:t>Spring 2025</w:t>
      </w:r>
    </w:p>
    <w:p w14:paraId="33C5EBE7" w14:textId="48E66F4B" w:rsidR="00F34B9A" w:rsidRDefault="00F34B9A" w:rsidP="0032306D">
      <w:pPr>
        <w:spacing w:after="120"/>
      </w:pPr>
      <w:r w:rsidRPr="00F34B9A">
        <w:t xml:space="preserve">Q9. What is the estimated duration? </w:t>
      </w:r>
    </w:p>
    <w:p w14:paraId="70C4F5D4" w14:textId="39DD7706" w:rsidR="00F34B9A" w:rsidRDefault="00F34B9A" w:rsidP="0032306D">
      <w:pPr>
        <w:spacing w:after="120"/>
        <w:ind w:left="518" w:hanging="446"/>
        <w:rPr>
          <w:b/>
          <w:bCs/>
        </w:rPr>
      </w:pPr>
      <w:r w:rsidRPr="00F34B9A">
        <w:rPr>
          <w:b/>
          <w:bCs/>
        </w:rPr>
        <w:t>A9.</w:t>
      </w:r>
      <w:r w:rsidR="00CC59FC">
        <w:rPr>
          <w:b/>
          <w:bCs/>
        </w:rPr>
        <w:t xml:space="preserve"> </w:t>
      </w:r>
      <w:r w:rsidR="002D2C2E">
        <w:rPr>
          <w:b/>
          <w:bCs/>
        </w:rPr>
        <w:t>12 months</w:t>
      </w:r>
    </w:p>
    <w:p w14:paraId="09E9313A" w14:textId="3038D849" w:rsidR="00131DBE" w:rsidRDefault="00131DBE" w:rsidP="0032306D">
      <w:pPr>
        <w:spacing w:after="120"/>
      </w:pPr>
      <w:r w:rsidRPr="00131DBE">
        <w:t>Q10.</w:t>
      </w:r>
      <w:bookmarkStart w:id="0" w:name="_Hlk184023392"/>
      <w:r w:rsidR="00CC59FC">
        <w:t xml:space="preserve"> </w:t>
      </w:r>
      <w:r w:rsidRPr="00131DBE">
        <w:t>Would the County please provide the CEI budget for this contract?</w:t>
      </w:r>
    </w:p>
    <w:p w14:paraId="31C980C7" w14:textId="62C6F583" w:rsidR="00131DBE" w:rsidRPr="000F59D2" w:rsidRDefault="00BB4055" w:rsidP="0032306D">
      <w:pPr>
        <w:spacing w:after="120"/>
        <w:ind w:left="180" w:hanging="180"/>
        <w:rPr>
          <w:b/>
          <w:bCs/>
        </w:rPr>
      </w:pPr>
      <w:r w:rsidRPr="000F59D2">
        <w:rPr>
          <w:b/>
          <w:bCs/>
        </w:rPr>
        <w:t xml:space="preserve"> </w:t>
      </w:r>
      <w:r w:rsidR="00131DBE" w:rsidRPr="000F59D2">
        <w:rPr>
          <w:b/>
          <w:bCs/>
        </w:rPr>
        <w:t>A10. Please see A7.</w:t>
      </w:r>
    </w:p>
    <w:p w14:paraId="32D4289B" w14:textId="77777777" w:rsidR="00131DBE" w:rsidRDefault="00131DBE" w:rsidP="00541B25">
      <w:pPr>
        <w:spacing w:after="120"/>
        <w:ind w:left="540" w:hanging="540"/>
      </w:pPr>
      <w:r>
        <w:t xml:space="preserve">Q11. </w:t>
      </w:r>
      <w:r w:rsidRPr="00131DBE">
        <w:t xml:space="preserve">Under </w:t>
      </w:r>
      <w:r w:rsidRPr="00131DBE">
        <w:rPr>
          <w:b/>
          <w:bCs/>
        </w:rPr>
        <w:t>RFQ Section 10.5.1 – Vendor Profile</w:t>
      </w:r>
      <w:r w:rsidRPr="00131DBE">
        <w:t>, consultants are asked to list key personnel in Attachment 2 – Professional Services Commitment Form. Since the form is used to list subconsultants and their workgroups / workshare %, would we be allowed to provide the key staff separately in the form of an org chart?</w:t>
      </w:r>
    </w:p>
    <w:p w14:paraId="62B74115" w14:textId="48B6F808" w:rsidR="00131DBE" w:rsidRPr="00661EB1" w:rsidRDefault="00BB4055" w:rsidP="0032306D">
      <w:pPr>
        <w:spacing w:after="120"/>
        <w:ind w:left="547" w:hanging="547"/>
        <w:rPr>
          <w:b/>
          <w:bCs/>
        </w:rPr>
      </w:pPr>
      <w:r>
        <w:t xml:space="preserve"> </w:t>
      </w:r>
      <w:r w:rsidR="00CC59FC">
        <w:t xml:space="preserve"> </w:t>
      </w:r>
      <w:r w:rsidR="00131DBE" w:rsidRPr="00661EB1">
        <w:rPr>
          <w:b/>
          <w:bCs/>
        </w:rPr>
        <w:t xml:space="preserve">A11. A completed Attachment 2 – Professional Services Commitment Form – FDOT Form #375-030-83 is required to be considered for award. </w:t>
      </w:r>
    </w:p>
    <w:p w14:paraId="68A91B76" w14:textId="77777777" w:rsidR="00A4526C" w:rsidRDefault="00A4526C" w:rsidP="00CC59FC">
      <w:pPr>
        <w:spacing w:after="120"/>
        <w:ind w:left="630" w:hanging="630"/>
      </w:pPr>
      <w:r>
        <w:lastRenderedPageBreak/>
        <w:t xml:space="preserve">Q12. </w:t>
      </w:r>
      <w:r w:rsidRPr="00A4526C">
        <w:t>Will the County please provide its final anticipated/actual completion date for the Project? (</w:t>
      </w:r>
      <w:r w:rsidRPr="00A4526C">
        <w:rPr>
          <w:i/>
          <w:iCs/>
        </w:rPr>
        <w:t>referencing 10.5.3 Proposed Solution on Page 7 of the RSQ</w:t>
      </w:r>
      <w:r w:rsidRPr="00A4526C">
        <w:t>)</w:t>
      </w:r>
    </w:p>
    <w:p w14:paraId="2FACF8F4" w14:textId="0648C25C" w:rsidR="00A4526C" w:rsidRPr="00661EB1" w:rsidRDefault="00BB4055" w:rsidP="0032306D">
      <w:pPr>
        <w:spacing w:after="120"/>
        <w:ind w:left="547" w:hanging="547"/>
        <w:rPr>
          <w:b/>
          <w:bCs/>
        </w:rPr>
      </w:pPr>
      <w:r w:rsidRPr="00661EB1">
        <w:rPr>
          <w:b/>
          <w:bCs/>
        </w:rPr>
        <w:t xml:space="preserve"> </w:t>
      </w:r>
      <w:r w:rsidR="00A4526C" w:rsidRPr="00661EB1">
        <w:rPr>
          <w:b/>
          <w:bCs/>
        </w:rPr>
        <w:t>A12. Please refer to A4.</w:t>
      </w:r>
    </w:p>
    <w:p w14:paraId="38200921" w14:textId="77777777" w:rsidR="002528D8" w:rsidRPr="002528D8" w:rsidRDefault="002528D8" w:rsidP="0032306D">
      <w:pPr>
        <w:spacing w:after="120"/>
        <w:ind w:left="540" w:hanging="540"/>
        <w:rPr>
          <w:snapToGrid/>
        </w:rPr>
      </w:pPr>
      <w:r>
        <w:t xml:space="preserve">Q13. </w:t>
      </w:r>
      <w:r w:rsidRPr="002528D8">
        <w:t>In the Sample Agreement, the indemnification clause in Section 5.8 does not comply with FL Statute 725.08, in professional services are not obligated to provide a defense. Further, the “triggers” for indemnification do not comply with the statute. We kindly ask the County to please consider modifying the language in Section 5.8 to comply with FL Statute 725.08. The statute identifies the following language:</w:t>
      </w:r>
    </w:p>
    <w:p w14:paraId="0388D28B" w14:textId="59A67E78" w:rsidR="002528D8" w:rsidRPr="002528D8" w:rsidRDefault="002528D8" w:rsidP="0032306D">
      <w:pPr>
        <w:spacing w:after="120"/>
        <w:ind w:left="540" w:hanging="540"/>
        <w:rPr>
          <w:i/>
          <w:iCs/>
        </w:rPr>
      </w:pPr>
      <w:r>
        <w:rPr>
          <w:i/>
          <w:iCs/>
        </w:rPr>
        <w:t xml:space="preserve">        </w:t>
      </w:r>
      <w:r w:rsidRPr="002528D8">
        <w:rPr>
          <w:i/>
          <w:iCs/>
        </w:rPr>
        <w:t>“[CONSULTANT shall] indemnify and hold harmless the agency, and its officers and employees, from liabilities, damages, losses, and costs, including, but not limited to, reasonable attorneys’ fees, to the extent caused by the negligence, recklessness, or intentionally wrongful conduct of the [CONSULTANT] and other persons employed or utilized by the [CONSULTANT] in the performance of the contract.”</w:t>
      </w:r>
    </w:p>
    <w:p w14:paraId="2AAB6191" w14:textId="5B92EBC0" w:rsidR="00821A3B" w:rsidRPr="00661EB1" w:rsidRDefault="00CC59FC" w:rsidP="0032306D">
      <w:pPr>
        <w:spacing w:after="120"/>
        <w:ind w:left="547" w:hanging="547"/>
        <w:rPr>
          <w:b/>
          <w:bCs/>
          <w:snapToGrid/>
        </w:rPr>
      </w:pPr>
      <w:r>
        <w:rPr>
          <w:b/>
          <w:bCs/>
          <w:snapToGrid/>
        </w:rPr>
        <w:t xml:space="preserve"> </w:t>
      </w:r>
      <w:r w:rsidR="00821A3B" w:rsidRPr="00661EB1">
        <w:rPr>
          <w:b/>
          <w:bCs/>
          <w:snapToGrid/>
        </w:rPr>
        <w:t>A13.</w:t>
      </w:r>
      <w:r w:rsidR="0032306D">
        <w:rPr>
          <w:b/>
          <w:bCs/>
          <w:snapToGrid/>
        </w:rPr>
        <w:t xml:space="preserve"> </w:t>
      </w:r>
      <w:bookmarkStart w:id="1" w:name="_Hlk184130843"/>
      <w:r w:rsidR="0032306D">
        <w:rPr>
          <w:b/>
          <w:bCs/>
          <w:snapToGrid/>
        </w:rPr>
        <w:t>Exhibit E – Sample Agreement, Section 5.8 is in accordance with the FDOT grant agreement specifications for this project. The language cannot be modified.</w:t>
      </w:r>
    </w:p>
    <w:bookmarkEnd w:id="1"/>
    <w:p w14:paraId="0CF7F253" w14:textId="77777777" w:rsidR="00821A3B" w:rsidRPr="00821A3B" w:rsidRDefault="00821A3B" w:rsidP="0032306D">
      <w:pPr>
        <w:spacing w:after="120"/>
        <w:ind w:left="540" w:hanging="540"/>
        <w:rPr>
          <w:snapToGrid/>
          <w:sz w:val="22"/>
        </w:rPr>
      </w:pPr>
      <w:r>
        <w:rPr>
          <w:snapToGrid/>
        </w:rPr>
        <w:t xml:space="preserve">Q14. </w:t>
      </w:r>
      <w:r w:rsidRPr="00821A3B">
        <w:t xml:space="preserve">Please clarify the schedule requirement referenced in section 10.5.3 of the RSQ; is the intent to provide a CEI manhour estimate, or should we provide an actual construction schedule? </w:t>
      </w:r>
    </w:p>
    <w:p w14:paraId="501A97C8" w14:textId="77777777" w:rsidR="00A00582" w:rsidRDefault="00CC59FC" w:rsidP="0032306D">
      <w:pPr>
        <w:spacing w:after="120"/>
        <w:ind w:left="547" w:hanging="547"/>
        <w:rPr>
          <w:b/>
          <w:bCs/>
          <w:snapToGrid/>
        </w:rPr>
      </w:pPr>
      <w:r>
        <w:rPr>
          <w:b/>
          <w:bCs/>
          <w:snapToGrid/>
        </w:rPr>
        <w:t xml:space="preserve"> </w:t>
      </w:r>
      <w:r w:rsidR="00821A3B" w:rsidRPr="000F59D2">
        <w:rPr>
          <w:b/>
          <w:bCs/>
          <w:snapToGrid/>
        </w:rPr>
        <w:t>A14.</w:t>
      </w:r>
      <w:r w:rsidR="00661EB1" w:rsidRPr="000F59D2">
        <w:rPr>
          <w:b/>
          <w:bCs/>
          <w:snapToGrid/>
        </w:rPr>
        <w:t xml:space="preserve"> </w:t>
      </w:r>
      <w:r w:rsidR="00A00582">
        <w:rPr>
          <w:b/>
          <w:bCs/>
          <w:snapToGrid/>
        </w:rPr>
        <w:t xml:space="preserve">The second paragraph of Section 10.5.3 has been removed. </w:t>
      </w:r>
    </w:p>
    <w:p w14:paraId="62969AD8" w14:textId="77777777" w:rsidR="00A00582" w:rsidRDefault="00A00582" w:rsidP="00A00582">
      <w:pPr>
        <w:pStyle w:val="ListParagraph"/>
        <w:numPr>
          <w:ilvl w:val="0"/>
          <w:numId w:val="16"/>
        </w:numPr>
        <w:spacing w:after="80" w:line="259" w:lineRule="auto"/>
        <w:ind w:left="1800"/>
        <w:jc w:val="both"/>
        <w:rPr>
          <w:rFonts w:eastAsia="Times New Roman"/>
          <w:strike/>
        </w:rPr>
      </w:pPr>
      <w:r w:rsidRPr="00A43A4F">
        <w:rPr>
          <w:rFonts w:eastAsia="Times New Roman"/>
          <w:strike/>
        </w:rPr>
        <w:t xml:space="preserve">Provide a proposed completion schedule following COUNTY’S final completion date. Services shall begin upon written notification to proceed by COUNTY. The final completion schedule for inclusion in any resulting contract may be negotiated. The overall services period for this project will terminate at such time that </w:t>
      </w:r>
      <w:proofErr w:type="gramStart"/>
      <w:r w:rsidRPr="00A43A4F">
        <w:rPr>
          <w:rFonts w:eastAsia="Times New Roman"/>
          <w:strike/>
        </w:rPr>
        <w:t>all of</w:t>
      </w:r>
      <w:proofErr w:type="gramEnd"/>
      <w:r w:rsidRPr="00A43A4F">
        <w:rPr>
          <w:rFonts w:eastAsia="Times New Roman"/>
          <w:strike/>
        </w:rPr>
        <w:t xml:space="preserve"> the services have been accepted as completed by the COUNTY and then remain in effect until completion of the expressed and/or implied warranty periods</w:t>
      </w:r>
    </w:p>
    <w:p w14:paraId="4D2BCB48" w14:textId="77777777" w:rsidR="00A00582" w:rsidRDefault="00A00582" w:rsidP="00A00582">
      <w:pPr>
        <w:spacing w:after="120"/>
        <w:ind w:left="547" w:firstLine="83"/>
        <w:rPr>
          <w:b/>
          <w:bCs/>
          <w:snapToGrid/>
        </w:rPr>
      </w:pPr>
      <w:r>
        <w:rPr>
          <w:b/>
          <w:bCs/>
          <w:snapToGrid/>
        </w:rPr>
        <w:t>Section 10.5.3 shall now read:</w:t>
      </w:r>
    </w:p>
    <w:p w14:paraId="24225EA7" w14:textId="77777777" w:rsidR="00A00582" w:rsidRDefault="00A00582" w:rsidP="00A00582">
      <w:pPr>
        <w:pStyle w:val="ListParagraph"/>
        <w:numPr>
          <w:ilvl w:val="0"/>
          <w:numId w:val="16"/>
        </w:numPr>
        <w:spacing w:after="80" w:line="259" w:lineRule="auto"/>
        <w:ind w:left="1800"/>
        <w:jc w:val="both"/>
        <w:rPr>
          <w:rFonts w:eastAsia="Times New Roman"/>
        </w:rPr>
      </w:pPr>
      <w:r w:rsidRPr="00930829">
        <w:rPr>
          <w:rFonts w:eastAsia="Times New Roman"/>
        </w:rPr>
        <w:t xml:space="preserve">Provide a </w:t>
      </w:r>
      <w:r>
        <w:rPr>
          <w:rFonts w:eastAsia="Times New Roman"/>
        </w:rPr>
        <w:t>detailed project approach</w:t>
      </w:r>
      <w:r w:rsidRPr="009C7915">
        <w:rPr>
          <w:rFonts w:eastAsia="Times New Roman"/>
        </w:rPr>
        <w:t xml:space="preserve">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07BA1D49" w14:textId="77777777" w:rsidR="00821A3B" w:rsidRDefault="00821A3B" w:rsidP="0032306D">
      <w:pPr>
        <w:spacing w:after="120"/>
      </w:pPr>
      <w:r>
        <w:rPr>
          <w:snapToGrid/>
        </w:rPr>
        <w:t xml:space="preserve">Q15. </w:t>
      </w:r>
      <w:r w:rsidRPr="00821A3B">
        <w:t>Is there an estimated contract time calculated yet for this project?</w:t>
      </w:r>
    </w:p>
    <w:p w14:paraId="3BBB84BF" w14:textId="5B64E521" w:rsidR="00821A3B" w:rsidRPr="000F59D2" w:rsidRDefault="00CC59FC" w:rsidP="0032306D">
      <w:pPr>
        <w:spacing w:after="120"/>
        <w:rPr>
          <w:b/>
          <w:bCs/>
          <w:snapToGrid/>
          <w:sz w:val="22"/>
        </w:rPr>
      </w:pPr>
      <w:r>
        <w:rPr>
          <w:b/>
          <w:bCs/>
        </w:rPr>
        <w:t xml:space="preserve"> </w:t>
      </w:r>
      <w:r w:rsidR="00821A3B" w:rsidRPr="000F59D2">
        <w:rPr>
          <w:b/>
          <w:bCs/>
        </w:rPr>
        <w:t xml:space="preserve">A15. </w:t>
      </w:r>
      <w:r w:rsidR="00661EB1" w:rsidRPr="000F59D2">
        <w:rPr>
          <w:b/>
          <w:bCs/>
        </w:rPr>
        <w:t>Please refer to A9</w:t>
      </w:r>
      <w:r w:rsidR="000F59D2">
        <w:rPr>
          <w:b/>
          <w:bCs/>
        </w:rPr>
        <w:t>.</w:t>
      </w:r>
    </w:p>
    <w:bookmarkEnd w:id="0"/>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6B4B9A5F" w14:textId="34705D2E" w:rsidR="00EA1F05" w:rsidRDefault="00C30B5C" w:rsidP="0032306D">
      <w:pPr>
        <w:pBdr>
          <w:bottom w:val="single" w:sz="6" w:space="1" w:color="auto"/>
        </w:pBdr>
        <w:spacing w:after="120"/>
      </w:pPr>
      <w:r>
        <w:t>N/A</w:t>
      </w: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7D879CB2" w14:textId="5136AB58" w:rsidR="00F60805" w:rsidRPr="009573DA" w:rsidRDefault="00DC68A5" w:rsidP="009573DA">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sectPr w:rsidR="00F60805" w:rsidRPr="009573DA" w:rsidSect="00A00582">
      <w:headerReference w:type="default" r:id="rId11"/>
      <w:footerReference w:type="default" r:id="rId12"/>
      <w:headerReference w:type="first" r:id="rId13"/>
      <w:footerReference w:type="first" r:id="rId14"/>
      <w:endnotePr>
        <w:numFmt w:val="decimal"/>
      </w:endnotePr>
      <w:pgSz w:w="12240" w:h="15840" w:code="1"/>
      <w:pgMar w:top="540" w:right="1152" w:bottom="99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09D8F924" w:rsidR="0069382C" w:rsidRPr="00EA1F05" w:rsidRDefault="0069382C" w:rsidP="0069382C">
    <w:pPr>
      <w:pStyle w:val="Header"/>
      <w:tabs>
        <w:tab w:val="clear" w:pos="8640"/>
        <w:tab w:val="right" w:pos="9900"/>
      </w:tabs>
      <w:rPr>
        <w:b/>
        <w:bCs/>
      </w:rPr>
    </w:pPr>
    <w:r w:rsidRPr="00EA1F05">
      <w:rPr>
        <w:b/>
        <w:bCs/>
      </w:rPr>
      <w:t xml:space="preserve">ADDENDUM NO. </w:t>
    </w:r>
    <w:r w:rsidRPr="00E6415E">
      <w:rPr>
        <w:b/>
        <w:bCs/>
      </w:rPr>
      <w:t>#</w:t>
    </w:r>
    <w:r w:rsidR="00DB05A3">
      <w:rPr>
        <w:b/>
        <w:bCs/>
      </w:rPr>
      <w:t>2</w:t>
    </w:r>
    <w:r w:rsidRPr="00EA1F05">
      <w:rPr>
        <w:b/>
        <w:bCs/>
      </w:rPr>
      <w:tab/>
    </w:r>
    <w:r w:rsidRPr="00EA1F05">
      <w:rPr>
        <w:b/>
        <w:bCs/>
      </w:rPr>
      <w:tab/>
    </w:r>
    <w:r w:rsidR="00EA1F05" w:rsidRPr="00EA1F05">
      <w:rPr>
        <w:b/>
        <w:bCs/>
      </w:rPr>
      <w:t>2</w:t>
    </w:r>
    <w:r w:rsidR="00DA4DE3">
      <w:rPr>
        <w:b/>
        <w:bCs/>
      </w:rPr>
      <w:t>5</w:t>
    </w:r>
    <w:r w:rsidR="00EA1F05" w:rsidRPr="00EA1F05">
      <w:rPr>
        <w:b/>
        <w:bCs/>
      </w:rPr>
      <w:t>-</w:t>
    </w:r>
    <w:r w:rsidR="00E6415E">
      <w:rPr>
        <w:b/>
        <w:bCs/>
      </w:rPr>
      <w:t>702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B1FE9"/>
    <w:multiLevelType w:val="hybridMultilevel"/>
    <w:tmpl w:val="2A660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560589"/>
    <w:multiLevelType w:val="hybridMultilevel"/>
    <w:tmpl w:val="5B20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26072"/>
    <w:multiLevelType w:val="hybridMultilevel"/>
    <w:tmpl w:val="B7FCE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D61036"/>
    <w:multiLevelType w:val="hybridMultilevel"/>
    <w:tmpl w:val="D20A6204"/>
    <w:lvl w:ilvl="0" w:tplc="AD6A69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C45EF"/>
    <w:multiLevelType w:val="hybridMultilevel"/>
    <w:tmpl w:val="252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6715BFA"/>
    <w:multiLevelType w:val="hybridMultilevel"/>
    <w:tmpl w:val="CD302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5"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2"/>
  </w:num>
  <w:num w:numId="2" w16cid:durableId="19864184">
    <w:abstractNumId w:val="14"/>
  </w:num>
  <w:num w:numId="3" w16cid:durableId="1569223518">
    <w:abstractNumId w:val="12"/>
  </w:num>
  <w:num w:numId="4" w16cid:durableId="584000639">
    <w:abstractNumId w:val="15"/>
  </w:num>
  <w:num w:numId="5" w16cid:durableId="489567764">
    <w:abstractNumId w:val="3"/>
  </w:num>
  <w:num w:numId="6" w16cid:durableId="445973893">
    <w:abstractNumId w:val="9"/>
  </w:num>
  <w:num w:numId="7" w16cid:durableId="1036589449">
    <w:abstractNumId w:val="8"/>
  </w:num>
  <w:num w:numId="8" w16cid:durableId="767965953">
    <w:abstractNumId w:val="10"/>
  </w:num>
  <w:num w:numId="9" w16cid:durableId="1435591811">
    <w:abstractNumId w:val="5"/>
  </w:num>
  <w:num w:numId="10" w16cid:durableId="1383408609">
    <w:abstractNumId w:val="1"/>
  </w:num>
  <w:num w:numId="11" w16cid:durableId="762184644">
    <w:abstractNumId w:val="6"/>
  </w:num>
  <w:num w:numId="12" w16cid:durableId="1620911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22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383972">
    <w:abstractNumId w:val="7"/>
  </w:num>
  <w:num w:numId="15" w16cid:durableId="460536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032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3ebel4dBqL0uMM+sxZl4KuZDgwppciTmjcKTiKvXe/WILOb91zZxgqAs9ISuAwmVkg84VyYqr4sx8EMaeR01g==" w:salt="DQHS8TS/gzA1EIe6ohC3D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29BC"/>
    <w:rsid w:val="00083067"/>
    <w:rsid w:val="000946A3"/>
    <w:rsid w:val="00096A78"/>
    <w:rsid w:val="000A32E4"/>
    <w:rsid w:val="000A3D94"/>
    <w:rsid w:val="000A49A7"/>
    <w:rsid w:val="000A4CAB"/>
    <w:rsid w:val="000A52EB"/>
    <w:rsid w:val="000A7862"/>
    <w:rsid w:val="000D04A1"/>
    <w:rsid w:val="000D6C50"/>
    <w:rsid w:val="000F43B5"/>
    <w:rsid w:val="000F59D2"/>
    <w:rsid w:val="00103943"/>
    <w:rsid w:val="001167AC"/>
    <w:rsid w:val="001252A5"/>
    <w:rsid w:val="00131DBE"/>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648B"/>
    <w:rsid w:val="001F757A"/>
    <w:rsid w:val="002053F0"/>
    <w:rsid w:val="00224BFC"/>
    <w:rsid w:val="002315C6"/>
    <w:rsid w:val="002320AE"/>
    <w:rsid w:val="00241DF8"/>
    <w:rsid w:val="002460D7"/>
    <w:rsid w:val="002528D8"/>
    <w:rsid w:val="002536F8"/>
    <w:rsid w:val="0025668B"/>
    <w:rsid w:val="00271D07"/>
    <w:rsid w:val="002735DD"/>
    <w:rsid w:val="0027455F"/>
    <w:rsid w:val="002763BF"/>
    <w:rsid w:val="002815E8"/>
    <w:rsid w:val="00282EE5"/>
    <w:rsid w:val="002A6B42"/>
    <w:rsid w:val="002B2528"/>
    <w:rsid w:val="002D2C2E"/>
    <w:rsid w:val="002D369E"/>
    <w:rsid w:val="002D4C1C"/>
    <w:rsid w:val="002D76AA"/>
    <w:rsid w:val="002E2E2C"/>
    <w:rsid w:val="002F3B18"/>
    <w:rsid w:val="003016A9"/>
    <w:rsid w:val="0032306D"/>
    <w:rsid w:val="00330218"/>
    <w:rsid w:val="003405CB"/>
    <w:rsid w:val="00345D8F"/>
    <w:rsid w:val="00347217"/>
    <w:rsid w:val="0034755A"/>
    <w:rsid w:val="00347B97"/>
    <w:rsid w:val="00362BF4"/>
    <w:rsid w:val="0036641A"/>
    <w:rsid w:val="00385A10"/>
    <w:rsid w:val="0038787D"/>
    <w:rsid w:val="00393669"/>
    <w:rsid w:val="003A18D7"/>
    <w:rsid w:val="003A632F"/>
    <w:rsid w:val="003A7DCC"/>
    <w:rsid w:val="003B5832"/>
    <w:rsid w:val="003C5FA6"/>
    <w:rsid w:val="003F09B1"/>
    <w:rsid w:val="003F206F"/>
    <w:rsid w:val="003F2FBF"/>
    <w:rsid w:val="003F6E82"/>
    <w:rsid w:val="003F7609"/>
    <w:rsid w:val="00402147"/>
    <w:rsid w:val="004131A7"/>
    <w:rsid w:val="00426BCD"/>
    <w:rsid w:val="0045335D"/>
    <w:rsid w:val="004608E6"/>
    <w:rsid w:val="00464CAE"/>
    <w:rsid w:val="0048032D"/>
    <w:rsid w:val="004B1918"/>
    <w:rsid w:val="004C3C70"/>
    <w:rsid w:val="004E3EE4"/>
    <w:rsid w:val="0050375E"/>
    <w:rsid w:val="005055D3"/>
    <w:rsid w:val="00517FFC"/>
    <w:rsid w:val="00521D99"/>
    <w:rsid w:val="00523D30"/>
    <w:rsid w:val="00525414"/>
    <w:rsid w:val="00525FD8"/>
    <w:rsid w:val="0052661D"/>
    <w:rsid w:val="00534716"/>
    <w:rsid w:val="00541B25"/>
    <w:rsid w:val="0057065C"/>
    <w:rsid w:val="005707DB"/>
    <w:rsid w:val="005B37C1"/>
    <w:rsid w:val="005B5D89"/>
    <w:rsid w:val="005C43BF"/>
    <w:rsid w:val="005D1931"/>
    <w:rsid w:val="005D3CB7"/>
    <w:rsid w:val="00603ED8"/>
    <w:rsid w:val="00605C06"/>
    <w:rsid w:val="00612DBC"/>
    <w:rsid w:val="0061414A"/>
    <w:rsid w:val="0064276A"/>
    <w:rsid w:val="00653049"/>
    <w:rsid w:val="006564E6"/>
    <w:rsid w:val="00660CA2"/>
    <w:rsid w:val="00661EB1"/>
    <w:rsid w:val="006725EC"/>
    <w:rsid w:val="0069382C"/>
    <w:rsid w:val="006A34AD"/>
    <w:rsid w:val="006D745E"/>
    <w:rsid w:val="006E5D73"/>
    <w:rsid w:val="00706554"/>
    <w:rsid w:val="00707723"/>
    <w:rsid w:val="00710E05"/>
    <w:rsid w:val="007124B6"/>
    <w:rsid w:val="00720757"/>
    <w:rsid w:val="007368C3"/>
    <w:rsid w:val="00751ACF"/>
    <w:rsid w:val="00783163"/>
    <w:rsid w:val="00785DA3"/>
    <w:rsid w:val="0079689F"/>
    <w:rsid w:val="007A5299"/>
    <w:rsid w:val="007F57E0"/>
    <w:rsid w:val="007F5BF8"/>
    <w:rsid w:val="007F6F6F"/>
    <w:rsid w:val="0080285B"/>
    <w:rsid w:val="0080437C"/>
    <w:rsid w:val="00804ECA"/>
    <w:rsid w:val="00807860"/>
    <w:rsid w:val="00821A3B"/>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41239"/>
    <w:rsid w:val="00954EAB"/>
    <w:rsid w:val="009573DA"/>
    <w:rsid w:val="00992C79"/>
    <w:rsid w:val="00997447"/>
    <w:rsid w:val="009A5699"/>
    <w:rsid w:val="009A68A8"/>
    <w:rsid w:val="009D2D83"/>
    <w:rsid w:val="009D66F5"/>
    <w:rsid w:val="009E2A73"/>
    <w:rsid w:val="009E4371"/>
    <w:rsid w:val="009F6C19"/>
    <w:rsid w:val="00A00582"/>
    <w:rsid w:val="00A07B66"/>
    <w:rsid w:val="00A2718B"/>
    <w:rsid w:val="00A32AF0"/>
    <w:rsid w:val="00A34AFE"/>
    <w:rsid w:val="00A4526C"/>
    <w:rsid w:val="00A5510B"/>
    <w:rsid w:val="00A6185C"/>
    <w:rsid w:val="00A72F3F"/>
    <w:rsid w:val="00A87373"/>
    <w:rsid w:val="00A93012"/>
    <w:rsid w:val="00AA0309"/>
    <w:rsid w:val="00AA2A5A"/>
    <w:rsid w:val="00AD4A23"/>
    <w:rsid w:val="00AE7A18"/>
    <w:rsid w:val="00AF66B1"/>
    <w:rsid w:val="00B06370"/>
    <w:rsid w:val="00B07A7F"/>
    <w:rsid w:val="00B60E88"/>
    <w:rsid w:val="00B64F84"/>
    <w:rsid w:val="00B70B00"/>
    <w:rsid w:val="00B71A25"/>
    <w:rsid w:val="00B82A39"/>
    <w:rsid w:val="00B97D79"/>
    <w:rsid w:val="00BA544F"/>
    <w:rsid w:val="00BB2EED"/>
    <w:rsid w:val="00BB4055"/>
    <w:rsid w:val="00BC4665"/>
    <w:rsid w:val="00BC4CFC"/>
    <w:rsid w:val="00BC53F6"/>
    <w:rsid w:val="00BD7B4A"/>
    <w:rsid w:val="00BF0C3E"/>
    <w:rsid w:val="00BF1A10"/>
    <w:rsid w:val="00C02B93"/>
    <w:rsid w:val="00C04BF9"/>
    <w:rsid w:val="00C07D27"/>
    <w:rsid w:val="00C11F22"/>
    <w:rsid w:val="00C20D39"/>
    <w:rsid w:val="00C3031B"/>
    <w:rsid w:val="00C30B5C"/>
    <w:rsid w:val="00C518D9"/>
    <w:rsid w:val="00C5202C"/>
    <w:rsid w:val="00C523CA"/>
    <w:rsid w:val="00C54BBE"/>
    <w:rsid w:val="00C65CF4"/>
    <w:rsid w:val="00C65E0D"/>
    <w:rsid w:val="00C66A0C"/>
    <w:rsid w:val="00C83188"/>
    <w:rsid w:val="00C9573E"/>
    <w:rsid w:val="00C95E9D"/>
    <w:rsid w:val="00CA1A27"/>
    <w:rsid w:val="00CB1B38"/>
    <w:rsid w:val="00CC306A"/>
    <w:rsid w:val="00CC4FF2"/>
    <w:rsid w:val="00CC59FC"/>
    <w:rsid w:val="00CD038E"/>
    <w:rsid w:val="00CE0010"/>
    <w:rsid w:val="00CF68E6"/>
    <w:rsid w:val="00D01ADF"/>
    <w:rsid w:val="00D20336"/>
    <w:rsid w:val="00D20816"/>
    <w:rsid w:val="00D258A9"/>
    <w:rsid w:val="00D4336C"/>
    <w:rsid w:val="00D454B6"/>
    <w:rsid w:val="00D7489F"/>
    <w:rsid w:val="00DA4DE3"/>
    <w:rsid w:val="00DB05A3"/>
    <w:rsid w:val="00DB7FA9"/>
    <w:rsid w:val="00DC457D"/>
    <w:rsid w:val="00DC68A5"/>
    <w:rsid w:val="00DD2371"/>
    <w:rsid w:val="00DD4532"/>
    <w:rsid w:val="00DD6BAE"/>
    <w:rsid w:val="00E12DB6"/>
    <w:rsid w:val="00E531E3"/>
    <w:rsid w:val="00E5490D"/>
    <w:rsid w:val="00E54A57"/>
    <w:rsid w:val="00E63776"/>
    <w:rsid w:val="00E6415E"/>
    <w:rsid w:val="00E925C6"/>
    <w:rsid w:val="00EA1F05"/>
    <w:rsid w:val="00EB25CE"/>
    <w:rsid w:val="00EE17FC"/>
    <w:rsid w:val="00EE3D54"/>
    <w:rsid w:val="00EF5966"/>
    <w:rsid w:val="00F02DD9"/>
    <w:rsid w:val="00F07C3F"/>
    <w:rsid w:val="00F1278D"/>
    <w:rsid w:val="00F20605"/>
    <w:rsid w:val="00F26946"/>
    <w:rsid w:val="00F34B9A"/>
    <w:rsid w:val="00F433A5"/>
    <w:rsid w:val="00F46047"/>
    <w:rsid w:val="00F55809"/>
    <w:rsid w:val="00F60805"/>
    <w:rsid w:val="00F65BEA"/>
    <w:rsid w:val="00F75E41"/>
    <w:rsid w:val="00F8073B"/>
    <w:rsid w:val="00F85D57"/>
    <w:rsid w:val="00F870AB"/>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101455865">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364868758">
      <w:bodyDiv w:val="1"/>
      <w:marLeft w:val="0"/>
      <w:marRight w:val="0"/>
      <w:marTop w:val="0"/>
      <w:marBottom w:val="0"/>
      <w:divBdr>
        <w:top w:val="none" w:sz="0" w:space="0" w:color="auto"/>
        <w:left w:val="none" w:sz="0" w:space="0" w:color="auto"/>
        <w:bottom w:val="none" w:sz="0" w:space="0" w:color="auto"/>
        <w:right w:val="none" w:sz="0" w:space="0" w:color="auto"/>
      </w:divBdr>
    </w:div>
    <w:div w:id="400755218">
      <w:bodyDiv w:val="1"/>
      <w:marLeft w:val="0"/>
      <w:marRight w:val="0"/>
      <w:marTop w:val="0"/>
      <w:marBottom w:val="0"/>
      <w:divBdr>
        <w:top w:val="none" w:sz="0" w:space="0" w:color="auto"/>
        <w:left w:val="none" w:sz="0" w:space="0" w:color="auto"/>
        <w:bottom w:val="none" w:sz="0" w:space="0" w:color="auto"/>
        <w:right w:val="none" w:sz="0" w:space="0" w:color="auto"/>
      </w:divBdr>
    </w:div>
    <w:div w:id="406343241">
      <w:bodyDiv w:val="1"/>
      <w:marLeft w:val="0"/>
      <w:marRight w:val="0"/>
      <w:marTop w:val="0"/>
      <w:marBottom w:val="0"/>
      <w:divBdr>
        <w:top w:val="none" w:sz="0" w:space="0" w:color="auto"/>
        <w:left w:val="none" w:sz="0" w:space="0" w:color="auto"/>
        <w:bottom w:val="none" w:sz="0" w:space="0" w:color="auto"/>
        <w:right w:val="none" w:sz="0" w:space="0" w:color="auto"/>
      </w:divBdr>
    </w:div>
    <w:div w:id="435487121">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29876261">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622687868">
      <w:bodyDiv w:val="1"/>
      <w:marLeft w:val="0"/>
      <w:marRight w:val="0"/>
      <w:marTop w:val="0"/>
      <w:marBottom w:val="0"/>
      <w:divBdr>
        <w:top w:val="none" w:sz="0" w:space="0" w:color="auto"/>
        <w:left w:val="none" w:sz="0" w:space="0" w:color="auto"/>
        <w:bottom w:val="none" w:sz="0" w:space="0" w:color="auto"/>
        <w:right w:val="none" w:sz="0" w:space="0" w:color="auto"/>
      </w:divBdr>
    </w:div>
    <w:div w:id="642320990">
      <w:bodyDiv w:val="1"/>
      <w:marLeft w:val="0"/>
      <w:marRight w:val="0"/>
      <w:marTop w:val="0"/>
      <w:marBottom w:val="0"/>
      <w:divBdr>
        <w:top w:val="none" w:sz="0" w:space="0" w:color="auto"/>
        <w:left w:val="none" w:sz="0" w:space="0" w:color="auto"/>
        <w:bottom w:val="none" w:sz="0" w:space="0" w:color="auto"/>
        <w:right w:val="none" w:sz="0" w:space="0" w:color="auto"/>
      </w:divBdr>
    </w:div>
    <w:div w:id="700476100">
      <w:bodyDiv w:val="1"/>
      <w:marLeft w:val="0"/>
      <w:marRight w:val="0"/>
      <w:marTop w:val="0"/>
      <w:marBottom w:val="0"/>
      <w:divBdr>
        <w:top w:val="none" w:sz="0" w:space="0" w:color="auto"/>
        <w:left w:val="none" w:sz="0" w:space="0" w:color="auto"/>
        <w:bottom w:val="none" w:sz="0" w:space="0" w:color="auto"/>
        <w:right w:val="none" w:sz="0" w:space="0" w:color="auto"/>
      </w:divBdr>
    </w:div>
    <w:div w:id="717162914">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855076050">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14660714">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505241516">
      <w:bodyDiv w:val="1"/>
      <w:marLeft w:val="0"/>
      <w:marRight w:val="0"/>
      <w:marTop w:val="0"/>
      <w:marBottom w:val="0"/>
      <w:divBdr>
        <w:top w:val="none" w:sz="0" w:space="0" w:color="auto"/>
        <w:left w:val="none" w:sz="0" w:space="0" w:color="auto"/>
        <w:bottom w:val="none" w:sz="0" w:space="0" w:color="auto"/>
        <w:right w:val="none" w:sz="0" w:space="0" w:color="auto"/>
      </w:divBdr>
    </w:div>
    <w:div w:id="1550994851">
      <w:bodyDiv w:val="1"/>
      <w:marLeft w:val="0"/>
      <w:marRight w:val="0"/>
      <w:marTop w:val="0"/>
      <w:marBottom w:val="0"/>
      <w:divBdr>
        <w:top w:val="none" w:sz="0" w:space="0" w:color="auto"/>
        <w:left w:val="none" w:sz="0" w:space="0" w:color="auto"/>
        <w:bottom w:val="none" w:sz="0" w:space="0" w:color="auto"/>
        <w:right w:val="none" w:sz="0" w:space="0" w:color="auto"/>
      </w:divBdr>
    </w:div>
    <w:div w:id="1957057974">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 w:id="21447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1F648B"/>
    <w:rsid w:val="00282EE5"/>
    <w:rsid w:val="002D76AA"/>
    <w:rsid w:val="00347B97"/>
    <w:rsid w:val="00393669"/>
    <w:rsid w:val="0045335D"/>
    <w:rsid w:val="0048083F"/>
    <w:rsid w:val="004E3EE4"/>
    <w:rsid w:val="00521D99"/>
    <w:rsid w:val="005247F9"/>
    <w:rsid w:val="005D1931"/>
    <w:rsid w:val="007F57E0"/>
    <w:rsid w:val="008F6B69"/>
    <w:rsid w:val="00925724"/>
    <w:rsid w:val="00D20336"/>
    <w:rsid w:val="00DD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Pages>
  <Words>767</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Falanga, Ron</cp:lastModifiedBy>
  <cp:revision>41</cp:revision>
  <cp:lastPrinted>2020-04-01T15:04:00Z</cp:lastPrinted>
  <dcterms:created xsi:type="dcterms:W3CDTF">2020-04-08T13:16:00Z</dcterms:created>
  <dcterms:modified xsi:type="dcterms:W3CDTF">2024-12-04T14:59:00Z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