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11D684A0" w14:textId="77777777" w:rsidR="00430EDF" w:rsidRDefault="00430EDF" w:rsidP="00D258A9">
      <w:pPr>
        <w:tabs>
          <w:tab w:val="left" w:pos="7020"/>
        </w:tabs>
        <w:rPr>
          <w:b/>
          <w:szCs w:val="24"/>
        </w:rPr>
      </w:pPr>
    </w:p>
    <w:p w14:paraId="5E2E8274" w14:textId="62B4B2E2" w:rsidR="00EF5966" w:rsidRPr="00CD038E" w:rsidRDefault="00EA1F05" w:rsidP="00D258A9">
      <w:pPr>
        <w:tabs>
          <w:tab w:val="left" w:pos="7020"/>
        </w:tabs>
        <w:rPr>
          <w:szCs w:val="24"/>
        </w:rPr>
      </w:pPr>
      <w:r>
        <w:rPr>
          <w:b/>
          <w:szCs w:val="24"/>
        </w:rPr>
        <w:t xml:space="preserve">SOLICTATION: </w:t>
      </w:r>
      <w:r w:rsidR="00D15556">
        <w:rPr>
          <w:bCs/>
          <w:szCs w:val="24"/>
        </w:rPr>
        <w:t>Green Mountain Scenic Overlook &amp; Trailhead – Second Observation Tower (rebid)</w:t>
      </w:r>
      <w:r w:rsidR="00525414" w:rsidRPr="00CD038E">
        <w:rPr>
          <w:szCs w:val="24"/>
        </w:rPr>
        <w:tab/>
      </w:r>
      <w:r w:rsidR="00C3031B">
        <w:rPr>
          <w:szCs w:val="24"/>
        </w:rPr>
        <w:tab/>
      </w:r>
      <w:r w:rsidR="00C3031B">
        <w:rPr>
          <w:szCs w:val="24"/>
        </w:rPr>
        <w:tab/>
      </w:r>
      <w:r>
        <w:rPr>
          <w:szCs w:val="24"/>
        </w:rPr>
        <w:tab/>
      </w:r>
      <w:r w:rsidR="009B3095" w:rsidRPr="001A46D6">
        <w:rPr>
          <w:szCs w:val="24"/>
        </w:rPr>
        <w:t>0</w:t>
      </w:r>
      <w:r w:rsidR="00430EDF" w:rsidRPr="001A46D6">
        <w:rPr>
          <w:szCs w:val="24"/>
        </w:rPr>
        <w:t>8/</w:t>
      </w:r>
      <w:r w:rsidR="001A46D6" w:rsidRPr="001A46D6">
        <w:rPr>
          <w:szCs w:val="24"/>
        </w:rPr>
        <w:t>26</w:t>
      </w:r>
      <w:r w:rsidR="009B3095" w:rsidRPr="001A46D6">
        <w:rPr>
          <w:szCs w:val="24"/>
        </w:rPr>
        <w:t>/2025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68606D30" w:rsidR="00B60E88" w:rsidRDefault="00271D07" w:rsidP="00E230FD">
      <w:pPr>
        <w:pStyle w:val="Default"/>
        <w:tabs>
          <w:tab w:val="left" w:pos="360"/>
        </w:tabs>
        <w:spacing w:after="240"/>
        <w:ind w:left="360"/>
        <w:jc w:val="center"/>
        <w:rPr>
          <w:b/>
          <w:bCs/>
        </w:rPr>
      </w:pPr>
      <w:r w:rsidRPr="00E230FD">
        <w:rPr>
          <w:b/>
          <w:bCs/>
        </w:rPr>
        <w:t>THIS ADDENDUM CHANGE</w:t>
      </w:r>
      <w:r w:rsidR="00E230FD" w:rsidRPr="00E230FD">
        <w:rPr>
          <w:b/>
          <w:bCs/>
        </w:rPr>
        <w:t>S</w:t>
      </w:r>
      <w:r w:rsidRPr="00E230FD">
        <w:rPr>
          <w:b/>
          <w:bCs/>
        </w:rPr>
        <w:t xml:space="preserve"> THE DATE FOR RECEIPT OF PROPOSALS</w:t>
      </w:r>
      <w:r w:rsidR="00E230FD" w:rsidRPr="00E230FD">
        <w:rPr>
          <w:b/>
          <w:bCs/>
        </w:rPr>
        <w:t xml:space="preserve"> FROM 08/</w:t>
      </w:r>
      <w:r w:rsidR="00646824">
        <w:rPr>
          <w:b/>
          <w:bCs/>
        </w:rPr>
        <w:t>2</w:t>
      </w:r>
      <w:r w:rsidR="001A46D6">
        <w:rPr>
          <w:b/>
          <w:bCs/>
        </w:rPr>
        <w:t>8</w:t>
      </w:r>
      <w:r w:rsidR="002641FE">
        <w:rPr>
          <w:b/>
          <w:bCs/>
        </w:rPr>
        <w:t>/</w:t>
      </w:r>
      <w:r w:rsidR="002641FE" w:rsidRPr="00C35B8E">
        <w:rPr>
          <w:b/>
          <w:bCs/>
        </w:rPr>
        <w:t>2025</w:t>
      </w:r>
      <w:r w:rsidR="00E230FD" w:rsidRPr="00C35B8E">
        <w:rPr>
          <w:b/>
          <w:bCs/>
        </w:rPr>
        <w:t xml:space="preserve"> TO 0</w:t>
      </w:r>
      <w:r w:rsidR="001A46D6">
        <w:rPr>
          <w:b/>
          <w:bCs/>
        </w:rPr>
        <w:t>9</w:t>
      </w:r>
      <w:r w:rsidR="00E230FD" w:rsidRPr="00C35B8E">
        <w:rPr>
          <w:b/>
          <w:bCs/>
        </w:rPr>
        <w:t>/</w:t>
      </w:r>
      <w:r w:rsidR="001A46D6">
        <w:rPr>
          <w:b/>
          <w:bCs/>
        </w:rPr>
        <w:t>03</w:t>
      </w:r>
      <w:r w:rsidR="002641FE" w:rsidRPr="00C35B8E">
        <w:rPr>
          <w:b/>
          <w:bCs/>
        </w:rPr>
        <w:t>/2025.</w:t>
      </w:r>
    </w:p>
    <w:p w14:paraId="7B122AE3" w14:textId="56EC964C" w:rsidR="00E4308C" w:rsidRDefault="00E4308C" w:rsidP="009F731C">
      <w:pPr>
        <w:pStyle w:val="Default"/>
        <w:tabs>
          <w:tab w:val="left" w:pos="360"/>
        </w:tabs>
        <w:spacing w:after="240"/>
        <w:rPr>
          <w:b/>
          <w:bCs/>
        </w:rPr>
      </w:pPr>
      <w:r>
        <w:rPr>
          <w:b/>
          <w:bCs/>
        </w:rPr>
        <w:t>QUESTIONS / RESPONSES:</w:t>
      </w:r>
    </w:p>
    <w:p w14:paraId="1BE44403" w14:textId="75D547CD" w:rsidR="009E1C74" w:rsidRDefault="009E1C74" w:rsidP="009E1C74">
      <w:pPr>
        <w:pStyle w:val="xmsonormal"/>
        <w:shd w:val="clear" w:color="auto" w:fill="FFFFFF"/>
        <w:spacing w:before="0" w:beforeAutospacing="0" w:after="0" w:afterAutospacing="0"/>
        <w:jc w:val="both"/>
        <w:rPr>
          <w:rFonts w:ascii="inherit" w:hAnsi="inherit"/>
          <w:color w:val="000000" w:themeColor="text1"/>
          <w:bdr w:val="none" w:sz="0" w:space="0" w:color="auto" w:frame="1"/>
        </w:rPr>
      </w:pPr>
      <w:r>
        <w:rPr>
          <w:rFonts w:ascii="inherit" w:hAnsi="inherit"/>
          <w:color w:val="000000" w:themeColor="text1"/>
          <w:bdr w:val="none" w:sz="0" w:space="0" w:color="auto" w:frame="1"/>
        </w:rPr>
        <w:t>Q9.</w:t>
      </w:r>
      <w:r>
        <w:rPr>
          <w:rFonts w:ascii="inherit" w:hAnsi="inherit"/>
          <w:color w:val="000000" w:themeColor="text1"/>
          <w:bdr w:val="none" w:sz="0" w:space="0" w:color="auto" w:frame="1"/>
        </w:rPr>
        <w:tab/>
        <w:t xml:space="preserve">Please provide additional </w:t>
      </w:r>
      <w:proofErr w:type="gramStart"/>
      <w:r>
        <w:rPr>
          <w:rFonts w:ascii="inherit" w:hAnsi="inherit"/>
          <w:color w:val="000000" w:themeColor="text1"/>
          <w:bdr w:val="none" w:sz="0" w:space="0" w:color="auto" w:frame="1"/>
        </w:rPr>
        <w:t>detail</w:t>
      </w:r>
      <w:proofErr w:type="gramEnd"/>
      <w:r>
        <w:rPr>
          <w:rFonts w:ascii="inherit" w:hAnsi="inherit"/>
          <w:color w:val="000000" w:themeColor="text1"/>
          <w:bdr w:val="none" w:sz="0" w:space="0" w:color="auto" w:frame="1"/>
        </w:rPr>
        <w:t xml:space="preserve"> regarding Addendum 1</w:t>
      </w:r>
    </w:p>
    <w:p w14:paraId="6B7B81AC" w14:textId="77777777" w:rsidR="009E1C74" w:rsidRDefault="009E1C74" w:rsidP="009E1C74">
      <w:pPr>
        <w:pStyle w:val="xmsonormal"/>
        <w:shd w:val="clear" w:color="auto" w:fill="FFFFFF"/>
        <w:spacing w:before="0" w:beforeAutospacing="0" w:after="0" w:afterAutospacing="0"/>
        <w:jc w:val="both"/>
        <w:rPr>
          <w:rFonts w:ascii="inherit" w:hAnsi="inherit"/>
          <w:color w:val="000000" w:themeColor="text1"/>
          <w:bdr w:val="none" w:sz="0" w:space="0" w:color="auto" w:frame="1"/>
        </w:rPr>
      </w:pPr>
    </w:p>
    <w:p w14:paraId="2DA6119A" w14:textId="5BEE994A" w:rsidR="009E1C74" w:rsidRPr="00B565F0" w:rsidRDefault="009E1C74" w:rsidP="001830C8">
      <w:pPr>
        <w:pStyle w:val="xmsonormal"/>
        <w:shd w:val="clear" w:color="auto" w:fill="FFFFFF"/>
        <w:spacing w:before="0" w:beforeAutospacing="0" w:after="0" w:afterAutospacing="0"/>
        <w:ind w:left="720" w:hanging="720"/>
        <w:jc w:val="both"/>
        <w:rPr>
          <w:color w:val="000000" w:themeColor="text1"/>
        </w:rPr>
      </w:pPr>
      <w:r>
        <w:rPr>
          <w:rFonts w:ascii="inherit" w:hAnsi="inherit"/>
          <w:color w:val="000000" w:themeColor="text1"/>
          <w:bdr w:val="none" w:sz="0" w:space="0" w:color="auto" w:frame="1"/>
        </w:rPr>
        <w:t>R9.</w:t>
      </w:r>
      <w:r>
        <w:rPr>
          <w:rFonts w:ascii="inherit" w:hAnsi="inherit"/>
          <w:color w:val="000000" w:themeColor="text1"/>
          <w:bdr w:val="none" w:sz="0" w:space="0" w:color="auto" w:frame="1"/>
        </w:rPr>
        <w:tab/>
      </w:r>
      <w:r w:rsidRPr="009E1C74">
        <w:rPr>
          <w:rFonts w:ascii="inherit" w:hAnsi="inherit"/>
          <w:color w:val="000000" w:themeColor="text1"/>
          <w:bdr w:val="none" w:sz="0" w:space="0" w:color="auto" w:frame="1"/>
        </w:rPr>
        <w:t xml:space="preserve">The design team/ TLC is not designing the </w:t>
      </w:r>
      <w:proofErr w:type="spellStart"/>
      <w:r w:rsidRPr="009E1C74">
        <w:rPr>
          <w:rFonts w:ascii="inherit" w:hAnsi="inherit"/>
          <w:color w:val="000000" w:themeColor="text1"/>
          <w:bdr w:val="none" w:sz="0" w:space="0" w:color="auto" w:frame="1"/>
        </w:rPr>
        <w:t>helicals</w:t>
      </w:r>
      <w:proofErr w:type="spellEnd"/>
      <w:r w:rsidRPr="009E1C74">
        <w:rPr>
          <w:rFonts w:ascii="inherit" w:hAnsi="inherit"/>
          <w:color w:val="000000" w:themeColor="text1"/>
          <w:bdr w:val="none" w:sz="0" w:space="0" w:color="auto" w:frame="1"/>
        </w:rPr>
        <w:t xml:space="preserve">. </w:t>
      </w:r>
      <w:proofErr w:type="gramStart"/>
      <w:r w:rsidRPr="009E1C74">
        <w:rPr>
          <w:rFonts w:ascii="inherit" w:hAnsi="inherit"/>
          <w:color w:val="000000" w:themeColor="text1"/>
          <w:bdr w:val="none" w:sz="0" w:space="0" w:color="auto" w:frame="1"/>
        </w:rPr>
        <w:t>All of</w:t>
      </w:r>
      <w:proofErr w:type="gramEnd"/>
      <w:r w:rsidRPr="009E1C74">
        <w:rPr>
          <w:rFonts w:ascii="inherit" w:hAnsi="inherit"/>
          <w:color w:val="000000" w:themeColor="text1"/>
          <w:bdr w:val="none" w:sz="0" w:space="0" w:color="auto" w:frame="1"/>
        </w:rPr>
        <w:t xml:space="preserve"> the information requested below is to be determined by vendor and vendor's engineer. We are reattaching the same </w:t>
      </w:r>
      <w:r w:rsidRPr="00B565F0">
        <w:rPr>
          <w:color w:val="000000" w:themeColor="text1"/>
          <w:bdr w:val="none" w:sz="0" w:space="0" w:color="auto" w:frame="1"/>
        </w:rPr>
        <w:t>paragraph from the Geotech report and highlighting a different section (below). The soil report is part of the bidding requirements and both the Geotech and TLC are in alignment that the helical type (meaning size and depth), configuration (meaning layout of piles which includes batter), and installation (meaning they need to figure out how to install to achieve loading requirements) is expected to be provided by the vendor's engineer.</w:t>
      </w:r>
    </w:p>
    <w:p w14:paraId="56FE1324" w14:textId="77777777" w:rsidR="009E1C74" w:rsidRPr="00B565F0" w:rsidRDefault="009E1C74" w:rsidP="009E1C74">
      <w:pPr>
        <w:pStyle w:val="xmsonormal"/>
        <w:shd w:val="clear" w:color="auto" w:fill="FFFFFF"/>
        <w:spacing w:before="0" w:beforeAutospacing="0" w:after="0" w:afterAutospacing="0"/>
        <w:ind w:left="720"/>
        <w:jc w:val="both"/>
        <w:rPr>
          <w:color w:val="000000" w:themeColor="text1"/>
        </w:rPr>
      </w:pPr>
      <w:r w:rsidRPr="00B565F0">
        <w:rPr>
          <w:color w:val="000000" w:themeColor="text1"/>
          <w:bdr w:val="none" w:sz="0" w:space="0" w:color="auto" w:frame="1"/>
        </w:rPr>
        <w:t> </w:t>
      </w:r>
    </w:p>
    <w:p w14:paraId="6C312FE1" w14:textId="77777777" w:rsidR="009E1C74" w:rsidRPr="00B565F0" w:rsidRDefault="009E1C74" w:rsidP="009E1C74">
      <w:pPr>
        <w:pStyle w:val="xmsonormal"/>
        <w:shd w:val="clear" w:color="auto" w:fill="FFFFFF"/>
        <w:spacing w:before="0" w:beforeAutospacing="0" w:after="0" w:afterAutospacing="0"/>
        <w:ind w:left="720"/>
        <w:jc w:val="both"/>
        <w:rPr>
          <w:color w:val="000000" w:themeColor="text1"/>
        </w:rPr>
      </w:pPr>
      <w:r w:rsidRPr="00B565F0">
        <w:rPr>
          <w:color w:val="000000" w:themeColor="text1"/>
          <w:bdr w:val="none" w:sz="0" w:space="0" w:color="auto" w:frame="1"/>
        </w:rPr>
        <w:t>Please note the following:</w:t>
      </w:r>
    </w:p>
    <w:p w14:paraId="3606C8D8" w14:textId="6B9D67F7" w:rsidR="009E1C74" w:rsidRPr="00B565F0" w:rsidRDefault="00E4308C" w:rsidP="009E1C74">
      <w:pPr>
        <w:pStyle w:val="xmsonormal"/>
        <w:shd w:val="clear" w:color="auto" w:fill="FFFFFF"/>
        <w:spacing w:before="0" w:beforeAutospacing="0" w:after="0" w:afterAutospacing="0"/>
        <w:ind w:left="1440" w:hanging="360"/>
        <w:jc w:val="both"/>
        <w:rPr>
          <w:color w:val="000000" w:themeColor="text1"/>
        </w:rPr>
      </w:pPr>
      <w:r w:rsidRPr="00B565F0">
        <w:rPr>
          <w:color w:val="000000" w:themeColor="text1"/>
          <w:bdr w:val="none" w:sz="0" w:space="0" w:color="auto" w:frame="1"/>
        </w:rPr>
        <w:t>a</w:t>
      </w:r>
      <w:r w:rsidR="009E1C74" w:rsidRPr="00B565F0">
        <w:rPr>
          <w:color w:val="000000" w:themeColor="text1"/>
          <w:bdr w:val="none" w:sz="0" w:space="0" w:color="auto" w:frame="1"/>
        </w:rPr>
        <w:t>.      The helical anchor design is a delegated design. The delegate engineer designs and selects appropriate anchor for specified criteria.</w:t>
      </w:r>
    </w:p>
    <w:p w14:paraId="3D53D4EB" w14:textId="21102540" w:rsidR="009E1C74" w:rsidRPr="00B565F0" w:rsidRDefault="00E4308C" w:rsidP="009E1C74">
      <w:pPr>
        <w:pStyle w:val="xmsonormal"/>
        <w:shd w:val="clear" w:color="auto" w:fill="FFFFFF"/>
        <w:spacing w:before="0" w:beforeAutospacing="0" w:after="0" w:afterAutospacing="0"/>
        <w:ind w:left="1440" w:hanging="360"/>
        <w:jc w:val="both"/>
        <w:rPr>
          <w:color w:val="000000" w:themeColor="text1"/>
        </w:rPr>
      </w:pPr>
      <w:r w:rsidRPr="00B565F0">
        <w:rPr>
          <w:color w:val="000000" w:themeColor="text1"/>
          <w:bdr w:val="none" w:sz="0" w:space="0" w:color="auto" w:frame="1"/>
        </w:rPr>
        <w:t>b</w:t>
      </w:r>
      <w:r w:rsidR="009E1C74" w:rsidRPr="00B565F0">
        <w:rPr>
          <w:color w:val="000000" w:themeColor="text1"/>
          <w:bdr w:val="none" w:sz="0" w:space="0" w:color="auto" w:frame="1"/>
        </w:rPr>
        <w:t xml:space="preserve">.      A factor of safety of 2.0 is typical FS that most helical providers use. </w:t>
      </w:r>
      <w:proofErr w:type="gramStart"/>
      <w:r w:rsidR="009E1C74" w:rsidRPr="00B565F0">
        <w:rPr>
          <w:color w:val="000000" w:themeColor="text1"/>
          <w:bdr w:val="none" w:sz="0" w:space="0" w:color="auto" w:frame="1"/>
        </w:rPr>
        <w:t>The</w:t>
      </w:r>
      <w:proofErr w:type="gramEnd"/>
      <w:r w:rsidR="009E1C74" w:rsidRPr="00B565F0">
        <w:rPr>
          <w:color w:val="000000" w:themeColor="text1"/>
          <w:bdr w:val="none" w:sz="0" w:space="0" w:color="auto" w:frame="1"/>
        </w:rPr>
        <w:t xml:space="preserve"> factor should not be an issue or a surprise.</w:t>
      </w:r>
    </w:p>
    <w:p w14:paraId="541C1C07" w14:textId="3CDCC483" w:rsidR="009E1C74" w:rsidRPr="00B565F0" w:rsidRDefault="00E4308C" w:rsidP="009E1C74">
      <w:pPr>
        <w:pStyle w:val="xmsonormal"/>
        <w:shd w:val="clear" w:color="auto" w:fill="FFFFFF"/>
        <w:spacing w:before="0" w:beforeAutospacing="0" w:after="0" w:afterAutospacing="0"/>
        <w:ind w:left="1440" w:hanging="360"/>
        <w:jc w:val="both"/>
        <w:rPr>
          <w:color w:val="000000" w:themeColor="text1"/>
        </w:rPr>
      </w:pPr>
      <w:r w:rsidRPr="00B565F0">
        <w:rPr>
          <w:color w:val="000000" w:themeColor="text1"/>
          <w:bdr w:val="none" w:sz="0" w:space="0" w:color="auto" w:frame="1"/>
        </w:rPr>
        <w:t>c</w:t>
      </w:r>
      <w:r w:rsidR="009E1C74" w:rsidRPr="00B565F0">
        <w:rPr>
          <w:color w:val="000000" w:themeColor="text1"/>
          <w:bdr w:val="none" w:sz="0" w:space="0" w:color="auto" w:frame="1"/>
        </w:rPr>
        <w:t>.      Geotech report aligns with TLC on items 1 and 2- see screenshot below</w:t>
      </w:r>
    </w:p>
    <w:p w14:paraId="556C1E85" w14:textId="77777777" w:rsidR="009E1C74" w:rsidRPr="00B565F0" w:rsidRDefault="009E1C74" w:rsidP="009E1C74">
      <w:pPr>
        <w:pStyle w:val="xelementtoproof"/>
        <w:shd w:val="clear" w:color="auto" w:fill="FFFFFF"/>
        <w:spacing w:before="0" w:beforeAutospacing="0" w:after="0" w:afterAutospacing="0"/>
        <w:ind w:left="1440"/>
        <w:rPr>
          <w:color w:val="242424"/>
        </w:rPr>
      </w:pPr>
      <w:r w:rsidRPr="00B565F0">
        <w:rPr>
          <w:noProof/>
          <w:color w:val="00B050"/>
          <w:bdr w:val="none" w:sz="0" w:space="0" w:color="auto" w:frame="1"/>
        </w:rPr>
        <w:drawing>
          <wp:inline distT="0" distB="0" distL="0" distR="0" wp14:anchorId="4318D258" wp14:editId="1C5C02DA">
            <wp:extent cx="4076700" cy="2217420"/>
            <wp:effectExtent l="0" t="0" r="0" b="0"/>
            <wp:docPr id="1498574153" name="Picture 1498574153"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74153" name="Picture 1498574153" descr="Graphical user interface, text, application&#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2217420"/>
                    </a:xfrm>
                    <a:prstGeom prst="rect">
                      <a:avLst/>
                    </a:prstGeom>
                    <a:noFill/>
                    <a:ln>
                      <a:noFill/>
                    </a:ln>
                  </pic:spPr>
                </pic:pic>
              </a:graphicData>
            </a:graphic>
          </wp:inline>
        </w:drawing>
      </w:r>
    </w:p>
    <w:p w14:paraId="2FDBB653" w14:textId="4786DF8B" w:rsidR="009E1C74" w:rsidRPr="00B565F0" w:rsidRDefault="00E4308C" w:rsidP="001830C8">
      <w:pPr>
        <w:pStyle w:val="xmsonormal"/>
        <w:shd w:val="clear" w:color="auto" w:fill="FFFFFF"/>
        <w:spacing w:before="0" w:beforeAutospacing="0" w:after="0" w:afterAutospacing="0"/>
        <w:ind w:left="1440" w:hanging="360"/>
        <w:rPr>
          <w:color w:val="000000" w:themeColor="text1"/>
        </w:rPr>
      </w:pPr>
      <w:r w:rsidRPr="00B565F0">
        <w:rPr>
          <w:color w:val="000000" w:themeColor="text1"/>
          <w:bdr w:val="none" w:sz="0" w:space="0" w:color="auto" w:frame="1"/>
        </w:rPr>
        <w:lastRenderedPageBreak/>
        <w:t>d</w:t>
      </w:r>
      <w:r w:rsidR="009E1C74" w:rsidRPr="00B565F0">
        <w:rPr>
          <w:color w:val="000000" w:themeColor="text1"/>
          <w:bdr w:val="none" w:sz="0" w:space="0" w:color="auto" w:frame="1"/>
        </w:rPr>
        <w:t>.      It seems like the loads that the earlier remail response noted are column reactions, meaning this is the total load on the pile group. The load per pile is much smaller. Example- compression load on helical at 118k for a 4-pile group with a factor of safety of 2 is approximately (118X2)/4 or 55k. These are not high loads for a typical helical anchor.</w:t>
      </w:r>
    </w:p>
    <w:p w14:paraId="1842ECB2" w14:textId="10C39829" w:rsidR="009E1C74" w:rsidRPr="00B565F0" w:rsidRDefault="00E4308C" w:rsidP="001830C8">
      <w:pPr>
        <w:pStyle w:val="xmsonormal"/>
        <w:shd w:val="clear" w:color="auto" w:fill="FFFFFF"/>
        <w:spacing w:before="0" w:beforeAutospacing="0" w:after="0" w:afterAutospacing="0"/>
        <w:ind w:left="1440" w:hanging="360"/>
        <w:rPr>
          <w:color w:val="000000" w:themeColor="text1"/>
        </w:rPr>
      </w:pPr>
      <w:r w:rsidRPr="00B565F0">
        <w:rPr>
          <w:color w:val="000000" w:themeColor="text1"/>
          <w:bdr w:val="none" w:sz="0" w:space="0" w:color="auto" w:frame="1"/>
        </w:rPr>
        <w:t>e</w:t>
      </w:r>
      <w:r w:rsidR="009E1C74" w:rsidRPr="00B565F0">
        <w:rPr>
          <w:color w:val="000000" w:themeColor="text1"/>
          <w:bdr w:val="none" w:sz="0" w:space="0" w:color="auto" w:frame="1"/>
        </w:rPr>
        <w:t xml:space="preserve">.      Lateral forces on helical anchors are generally addressed by battering the anchors. Straight piles should not be receiving the lateral force. The angle of batter is determined by the delegate engineer when they are analyzing the pile for the combined loadings. If the engineers prefer rearrangement of some anchors to facilitate anchor </w:t>
      </w:r>
      <w:proofErr w:type="gramStart"/>
      <w:r w:rsidR="009E1C74" w:rsidRPr="00B565F0">
        <w:rPr>
          <w:color w:val="000000" w:themeColor="text1"/>
          <w:bdr w:val="none" w:sz="0" w:space="0" w:color="auto" w:frame="1"/>
        </w:rPr>
        <w:t>batter</w:t>
      </w:r>
      <w:proofErr w:type="gramEnd"/>
      <w:r w:rsidR="009E1C74" w:rsidRPr="00B565F0">
        <w:rPr>
          <w:color w:val="000000" w:themeColor="text1"/>
          <w:bdr w:val="none" w:sz="0" w:space="0" w:color="auto" w:frame="1"/>
        </w:rPr>
        <w:t xml:space="preserve"> they can do that in their submittal that will ultimately get reviewed by TLC and by Geotech engineer.</w:t>
      </w:r>
    </w:p>
    <w:p w14:paraId="747EF43A" w14:textId="40E3A695" w:rsidR="00E4308C" w:rsidRPr="00B565F0" w:rsidRDefault="009E1C74" w:rsidP="001830C8">
      <w:pPr>
        <w:spacing w:after="120"/>
        <w:ind w:left="720" w:hanging="720"/>
        <w:rPr>
          <w:snapToGrid/>
          <w:color w:val="000000" w:themeColor="text1"/>
          <w:szCs w:val="24"/>
        </w:rPr>
      </w:pPr>
      <w:r w:rsidRPr="00B565F0">
        <w:rPr>
          <w:b/>
          <w:bCs/>
          <w:color w:val="000000" w:themeColor="text1"/>
          <w:szCs w:val="24"/>
        </w:rPr>
        <w:t>Q</w:t>
      </w:r>
      <w:r w:rsidR="00E4308C" w:rsidRPr="00B565F0">
        <w:rPr>
          <w:b/>
          <w:bCs/>
          <w:color w:val="000000" w:themeColor="text1"/>
          <w:szCs w:val="24"/>
        </w:rPr>
        <w:t>10</w:t>
      </w:r>
      <w:r w:rsidRPr="00B565F0">
        <w:rPr>
          <w:b/>
          <w:bCs/>
          <w:color w:val="000000" w:themeColor="text1"/>
          <w:szCs w:val="24"/>
        </w:rPr>
        <w:t>.</w:t>
      </w:r>
      <w:r w:rsidRPr="00B565F0">
        <w:rPr>
          <w:b/>
          <w:bCs/>
          <w:color w:val="000000" w:themeColor="text1"/>
          <w:szCs w:val="24"/>
        </w:rPr>
        <w:tab/>
      </w:r>
      <w:r w:rsidR="00B565F0">
        <w:rPr>
          <w:color w:val="000000" w:themeColor="text1"/>
          <w:szCs w:val="24"/>
        </w:rPr>
        <w:t>The e</w:t>
      </w:r>
      <w:r w:rsidR="00E4308C" w:rsidRPr="00B565F0">
        <w:rPr>
          <w:color w:val="000000" w:themeColor="text1"/>
          <w:szCs w:val="24"/>
        </w:rPr>
        <w:t>lectrical service is 1-phase 120/240V, but elevator is supposedly 3-phase 480V. The elevator transformer on the riser diagram calls for 1-phase going into the primary, and 3-phase coming out on the secondary. Transformers cannot convert phases, they only change the voltage</w:t>
      </w:r>
      <w:r w:rsidR="00B565F0">
        <w:rPr>
          <w:color w:val="000000" w:themeColor="text1"/>
          <w:szCs w:val="24"/>
        </w:rPr>
        <w:t>.</w:t>
      </w:r>
    </w:p>
    <w:p w14:paraId="1EDBE97C" w14:textId="04D3016B" w:rsidR="00E4308C" w:rsidRPr="00B565F0" w:rsidRDefault="00E4308C" w:rsidP="001830C8">
      <w:pPr>
        <w:ind w:left="720" w:hanging="720"/>
        <w:rPr>
          <w:color w:val="000000" w:themeColor="text1"/>
          <w:szCs w:val="24"/>
        </w:rPr>
      </w:pPr>
      <w:r w:rsidRPr="00B565F0">
        <w:rPr>
          <w:b/>
          <w:bCs/>
          <w:color w:val="000000" w:themeColor="text1"/>
          <w:szCs w:val="24"/>
        </w:rPr>
        <w:t>R10.    </w:t>
      </w:r>
      <w:r w:rsidRPr="00B565F0">
        <w:rPr>
          <w:color w:val="000000" w:themeColor="text1"/>
          <w:szCs w:val="24"/>
        </w:rPr>
        <w:t>Please refer to the attached revised electrical drawings sheets E001, E101, E102 and E501</w:t>
      </w:r>
    </w:p>
    <w:p w14:paraId="456C3979" w14:textId="2DB7F231" w:rsidR="00E4308C" w:rsidRPr="00B565F0" w:rsidRDefault="00E4308C" w:rsidP="001830C8">
      <w:pPr>
        <w:ind w:left="720" w:hanging="720"/>
        <w:rPr>
          <w:color w:val="000000" w:themeColor="text1"/>
          <w:szCs w:val="24"/>
        </w:rPr>
      </w:pPr>
      <w:r w:rsidRPr="00B565F0">
        <w:rPr>
          <w:color w:val="000000" w:themeColor="text1"/>
          <w:szCs w:val="24"/>
        </w:rPr>
        <w:t xml:space="preserve"> </w:t>
      </w:r>
      <w:r w:rsidR="001830C8" w:rsidRPr="00B565F0">
        <w:rPr>
          <w:color w:val="000000" w:themeColor="text1"/>
          <w:szCs w:val="24"/>
        </w:rPr>
        <w:tab/>
      </w:r>
      <w:r w:rsidRPr="00B565F0">
        <w:rPr>
          <w:color w:val="000000" w:themeColor="text1"/>
          <w:szCs w:val="24"/>
        </w:rPr>
        <w:t>showing the location of the new 480V (3 Phase, 4W) transformer, meter and service disconnect, and new (</w:t>
      </w:r>
      <w:proofErr w:type="gramStart"/>
      <w:r w:rsidRPr="00B565F0">
        <w:rPr>
          <w:color w:val="000000" w:themeColor="text1"/>
          <w:szCs w:val="24"/>
        </w:rPr>
        <w:t>4)#</w:t>
      </w:r>
      <w:proofErr w:type="gramEnd"/>
      <w:r w:rsidRPr="00B565F0">
        <w:rPr>
          <w:color w:val="000000" w:themeColor="text1"/>
          <w:szCs w:val="24"/>
        </w:rPr>
        <w:t xml:space="preserve">250 KCMIL in a 4" conduit. Note that </w:t>
      </w:r>
      <w:proofErr w:type="gramStart"/>
      <w:r w:rsidRPr="00B565F0">
        <w:rPr>
          <w:color w:val="000000" w:themeColor="text1"/>
          <w:szCs w:val="24"/>
        </w:rPr>
        <w:t>final</w:t>
      </w:r>
      <w:proofErr w:type="gramEnd"/>
      <w:r w:rsidRPr="00B565F0">
        <w:rPr>
          <w:color w:val="000000" w:themeColor="text1"/>
          <w:szCs w:val="24"/>
        </w:rPr>
        <w:t xml:space="preserve"> location to be determined by Utility Company (SECO Energy).</w:t>
      </w:r>
    </w:p>
    <w:p w14:paraId="63E5C014" w14:textId="77777777" w:rsidR="00E4308C" w:rsidRPr="00B565F0" w:rsidRDefault="00E4308C" w:rsidP="001830C8">
      <w:pPr>
        <w:ind w:left="720" w:hanging="720"/>
        <w:rPr>
          <w:b/>
          <w:bCs/>
          <w:color w:val="000000" w:themeColor="text1"/>
          <w:szCs w:val="24"/>
        </w:rPr>
      </w:pPr>
      <w:r w:rsidRPr="00B565F0">
        <w:rPr>
          <w:b/>
          <w:bCs/>
          <w:color w:val="000000" w:themeColor="text1"/>
          <w:szCs w:val="24"/>
        </w:rPr>
        <w:t xml:space="preserve">                             </w:t>
      </w:r>
      <w:r w:rsidRPr="00B565F0">
        <w:rPr>
          <w:color w:val="000000" w:themeColor="text1"/>
          <w:szCs w:val="24"/>
        </w:rPr>
        <w:t xml:space="preserve">Contractor to furnish and install a turn-key electrical system including but not limited to installation of transformer pad, meter and service disconnects, installation of electrical conduits, conductors, pull boxes, junction </w:t>
      </w:r>
      <w:proofErr w:type="gramStart"/>
      <w:r w:rsidRPr="00B565F0">
        <w:rPr>
          <w:color w:val="000000" w:themeColor="text1"/>
          <w:szCs w:val="24"/>
        </w:rPr>
        <w:t>box</w:t>
      </w:r>
      <w:proofErr w:type="gramEnd"/>
      <w:r w:rsidRPr="00B565F0">
        <w:rPr>
          <w:color w:val="000000" w:themeColor="text1"/>
          <w:szCs w:val="24"/>
        </w:rPr>
        <w:t>, secondary transformer and electrical distribution panels including all necessary electrical components to provide power service to proposed Second Observation Tower electrical system.</w:t>
      </w:r>
    </w:p>
    <w:p w14:paraId="0A148EE9" w14:textId="77777777" w:rsidR="001830C8" w:rsidRPr="00B565F0" w:rsidRDefault="001830C8" w:rsidP="001830C8">
      <w:pPr>
        <w:ind w:left="720" w:hanging="720"/>
        <w:rPr>
          <w:b/>
          <w:bCs/>
          <w:color w:val="000000" w:themeColor="text1"/>
          <w:szCs w:val="24"/>
          <w:u w:val="single"/>
        </w:rPr>
      </w:pPr>
    </w:p>
    <w:p w14:paraId="0006B967" w14:textId="2DEA2184" w:rsidR="00E4308C" w:rsidRPr="00B565F0" w:rsidRDefault="00E4308C" w:rsidP="001830C8">
      <w:pPr>
        <w:ind w:left="720"/>
        <w:rPr>
          <w:b/>
          <w:bCs/>
          <w:color w:val="000000" w:themeColor="text1"/>
          <w:szCs w:val="24"/>
          <w:u w:val="single"/>
        </w:rPr>
      </w:pPr>
      <w:r w:rsidRPr="00B565F0">
        <w:rPr>
          <w:b/>
          <w:bCs/>
          <w:color w:val="000000" w:themeColor="text1"/>
          <w:szCs w:val="24"/>
          <w:u w:val="single"/>
        </w:rPr>
        <w:t>**Notes:</w:t>
      </w:r>
    </w:p>
    <w:p w14:paraId="1D035ABE" w14:textId="7A737E06" w:rsidR="00E4308C" w:rsidRPr="00B565F0" w:rsidRDefault="00E4308C" w:rsidP="00B565F0">
      <w:pPr>
        <w:pStyle w:val="ListParagraph"/>
        <w:numPr>
          <w:ilvl w:val="3"/>
          <w:numId w:val="21"/>
        </w:numPr>
        <w:rPr>
          <w:rFonts w:ascii="Times New Roman" w:hAnsi="Times New Roman"/>
          <w:color w:val="000000" w:themeColor="text1"/>
          <w:sz w:val="24"/>
          <w:szCs w:val="24"/>
        </w:rPr>
      </w:pPr>
      <w:r w:rsidRPr="00B565F0">
        <w:rPr>
          <w:rFonts w:ascii="Times New Roman" w:hAnsi="Times New Roman"/>
          <w:color w:val="000000" w:themeColor="text1"/>
          <w:sz w:val="24"/>
          <w:szCs w:val="24"/>
        </w:rPr>
        <w:t>Proposed utility site transformer (277/480V, 3PH, 4W) to be furnished and installed by Utility Company (SECO Energy). Utility site transformer and related SECO Energy connection costs/fees to be paid by Lake County, therefore, no transformer/connection cost/fees to be paid by the contractor.</w:t>
      </w:r>
    </w:p>
    <w:p w14:paraId="24BCF8F4" w14:textId="77777777" w:rsidR="00E4308C" w:rsidRPr="00B565F0" w:rsidRDefault="00E4308C" w:rsidP="00B565F0">
      <w:pPr>
        <w:widowControl/>
        <w:numPr>
          <w:ilvl w:val="3"/>
          <w:numId w:val="21"/>
        </w:numPr>
        <w:rPr>
          <w:color w:val="000000" w:themeColor="text1"/>
          <w:szCs w:val="24"/>
        </w:rPr>
      </w:pPr>
      <w:r w:rsidRPr="00B565F0">
        <w:rPr>
          <w:color w:val="000000" w:themeColor="text1"/>
          <w:szCs w:val="24"/>
        </w:rPr>
        <w:t>Utility site transformer pad to be furnished/installed by Contractor.</w:t>
      </w:r>
    </w:p>
    <w:p w14:paraId="00A76629" w14:textId="77777777" w:rsidR="00E4308C" w:rsidRPr="00B565F0" w:rsidRDefault="00E4308C" w:rsidP="00B565F0">
      <w:pPr>
        <w:widowControl/>
        <w:numPr>
          <w:ilvl w:val="3"/>
          <w:numId w:val="21"/>
        </w:numPr>
        <w:rPr>
          <w:color w:val="000000" w:themeColor="text1"/>
          <w:szCs w:val="24"/>
        </w:rPr>
      </w:pPr>
      <w:r w:rsidRPr="00B565F0">
        <w:rPr>
          <w:color w:val="000000" w:themeColor="text1"/>
          <w:szCs w:val="24"/>
        </w:rPr>
        <w:t xml:space="preserve">Contractor responsible for coordinating with SECO Energy the installation of proposed utility site </w:t>
      </w:r>
      <w:proofErr w:type="gramStart"/>
      <w:r w:rsidRPr="00B565F0">
        <w:rPr>
          <w:color w:val="000000" w:themeColor="text1"/>
          <w:szCs w:val="24"/>
        </w:rPr>
        <w:t>transformer</w:t>
      </w:r>
      <w:proofErr w:type="gramEnd"/>
      <w:r w:rsidRPr="00B565F0">
        <w:rPr>
          <w:color w:val="000000" w:themeColor="text1"/>
          <w:szCs w:val="24"/>
        </w:rPr>
        <w:t>, meter and service disconnect, and primary conduits.</w:t>
      </w:r>
    </w:p>
    <w:p w14:paraId="3106EB3E" w14:textId="77777777" w:rsidR="00E4308C" w:rsidRPr="00B565F0" w:rsidRDefault="00E4308C" w:rsidP="00B565F0">
      <w:pPr>
        <w:widowControl/>
        <w:numPr>
          <w:ilvl w:val="3"/>
          <w:numId w:val="21"/>
        </w:numPr>
        <w:rPr>
          <w:color w:val="000000" w:themeColor="text1"/>
          <w:szCs w:val="24"/>
        </w:rPr>
      </w:pPr>
      <w:r w:rsidRPr="00B565F0">
        <w:rPr>
          <w:color w:val="000000" w:themeColor="text1"/>
          <w:szCs w:val="24"/>
        </w:rPr>
        <w:t>Per Exhibit A - Scope of Work, Section 2.1 “</w:t>
      </w:r>
      <w:r w:rsidRPr="00B565F0">
        <w:rPr>
          <w:i/>
          <w:iCs/>
          <w:color w:val="000000" w:themeColor="text1"/>
          <w:szCs w:val="24"/>
        </w:rPr>
        <w:t xml:space="preserve">Contractor is responsible for locating/identifying all utilities before starting construction; refer to Utilities section below for additional requirements. </w:t>
      </w:r>
      <w:proofErr w:type="gramStart"/>
      <w:r w:rsidRPr="00B565F0">
        <w:rPr>
          <w:i/>
          <w:iCs/>
          <w:color w:val="000000" w:themeColor="text1"/>
          <w:szCs w:val="24"/>
        </w:rPr>
        <w:t>Contractor</w:t>
      </w:r>
      <w:proofErr w:type="gramEnd"/>
      <w:r w:rsidRPr="00B565F0">
        <w:rPr>
          <w:i/>
          <w:iCs/>
          <w:color w:val="000000" w:themeColor="text1"/>
          <w:szCs w:val="24"/>
        </w:rPr>
        <w:t xml:space="preserve"> must take every precaution to avoid damage to any underground utilities. </w:t>
      </w:r>
      <w:proofErr w:type="gramStart"/>
      <w:r w:rsidRPr="00B565F0">
        <w:rPr>
          <w:i/>
          <w:iCs/>
          <w:color w:val="000000" w:themeColor="text1"/>
          <w:szCs w:val="24"/>
        </w:rPr>
        <w:t>Contractor</w:t>
      </w:r>
      <w:proofErr w:type="gramEnd"/>
      <w:r w:rsidRPr="00B565F0">
        <w:rPr>
          <w:i/>
          <w:iCs/>
          <w:color w:val="000000" w:themeColor="text1"/>
          <w:szCs w:val="24"/>
        </w:rPr>
        <w:t xml:space="preserve"> will be responsible for any damage caused to the existing utilities. </w:t>
      </w:r>
      <w:proofErr w:type="gramStart"/>
      <w:r w:rsidRPr="00B565F0">
        <w:rPr>
          <w:i/>
          <w:iCs/>
          <w:color w:val="000000" w:themeColor="text1"/>
          <w:szCs w:val="24"/>
        </w:rPr>
        <w:t>In the event that</w:t>
      </w:r>
      <w:proofErr w:type="gramEnd"/>
      <w:r w:rsidRPr="00B565F0">
        <w:rPr>
          <w:i/>
          <w:iCs/>
          <w:color w:val="000000" w:themeColor="text1"/>
          <w:szCs w:val="24"/>
        </w:rPr>
        <w:t xml:space="preserve"> Contractor or any of its subcontractors damage an existing utility, the Contractor will be responsible for the repair and must repair the same at its own cost</w:t>
      </w:r>
      <w:r w:rsidRPr="00B565F0">
        <w:rPr>
          <w:color w:val="000000" w:themeColor="text1"/>
          <w:szCs w:val="24"/>
        </w:rPr>
        <w:t>”.</w:t>
      </w:r>
    </w:p>
    <w:p w14:paraId="717B73C7" w14:textId="77777777" w:rsidR="00E4308C" w:rsidRPr="00B565F0" w:rsidRDefault="00E4308C" w:rsidP="00B565F0">
      <w:pPr>
        <w:widowControl/>
        <w:numPr>
          <w:ilvl w:val="3"/>
          <w:numId w:val="21"/>
        </w:numPr>
        <w:rPr>
          <w:color w:val="000000" w:themeColor="text1"/>
          <w:szCs w:val="24"/>
        </w:rPr>
      </w:pPr>
      <w:r w:rsidRPr="00B565F0">
        <w:rPr>
          <w:color w:val="000000" w:themeColor="text1"/>
          <w:szCs w:val="24"/>
        </w:rPr>
        <w:t>Installation of electrical conduits under existing asphalt pavement and concrete pathways/sidewalks by directional boring.</w:t>
      </w:r>
    </w:p>
    <w:p w14:paraId="4417C141" w14:textId="6A6B91F5" w:rsidR="00E4308C" w:rsidRPr="00B565F0" w:rsidRDefault="00E4308C" w:rsidP="00B565F0">
      <w:pPr>
        <w:widowControl/>
        <w:numPr>
          <w:ilvl w:val="3"/>
          <w:numId w:val="21"/>
        </w:numPr>
        <w:rPr>
          <w:color w:val="000000" w:themeColor="text1"/>
          <w:szCs w:val="24"/>
        </w:rPr>
      </w:pPr>
      <w:r w:rsidRPr="00B565F0">
        <w:rPr>
          <w:color w:val="000000" w:themeColor="text1"/>
          <w:szCs w:val="24"/>
        </w:rPr>
        <w:t>Per Exhibit A - Scope of Work, Section 2.8 “</w:t>
      </w:r>
      <w:r w:rsidRPr="00B565F0">
        <w:rPr>
          <w:i/>
          <w:iCs/>
          <w:color w:val="000000" w:themeColor="text1"/>
          <w:szCs w:val="24"/>
        </w:rPr>
        <w:t xml:space="preserve">Contractor responsible for re-grading and re-sodding all areas impacted by construction of the proposed improvements. </w:t>
      </w:r>
      <w:proofErr w:type="gramStart"/>
      <w:r w:rsidRPr="00B565F0">
        <w:rPr>
          <w:i/>
          <w:iCs/>
          <w:color w:val="000000" w:themeColor="text1"/>
          <w:szCs w:val="24"/>
        </w:rPr>
        <w:t>Contractor</w:t>
      </w:r>
      <w:proofErr w:type="gramEnd"/>
      <w:r w:rsidRPr="00B565F0">
        <w:rPr>
          <w:i/>
          <w:iCs/>
          <w:color w:val="000000" w:themeColor="text1"/>
          <w:szCs w:val="24"/>
        </w:rPr>
        <w:t xml:space="preserve"> shall provide all sod required. No grass seeding allowed</w:t>
      </w:r>
      <w:r w:rsidRPr="00B565F0">
        <w:rPr>
          <w:color w:val="000000" w:themeColor="text1"/>
          <w:szCs w:val="24"/>
        </w:rPr>
        <w:t>”.</w:t>
      </w:r>
    </w:p>
    <w:p w14:paraId="02719238" w14:textId="77777777" w:rsidR="00E4308C" w:rsidRPr="00B565F0" w:rsidRDefault="00E4308C" w:rsidP="001830C8">
      <w:pPr>
        <w:pStyle w:val="xmsonormal"/>
        <w:shd w:val="clear" w:color="auto" w:fill="FFFFFF"/>
        <w:spacing w:before="0" w:beforeAutospacing="0" w:after="0" w:afterAutospacing="0"/>
        <w:ind w:left="720" w:hanging="720"/>
        <w:rPr>
          <w:color w:val="000000" w:themeColor="text1"/>
          <w:bdr w:val="none" w:sz="0" w:space="0" w:color="auto" w:frame="1"/>
        </w:rPr>
      </w:pPr>
    </w:p>
    <w:p w14:paraId="125A44B0" w14:textId="3BCB5466" w:rsidR="00E4308C" w:rsidRPr="00B565F0" w:rsidRDefault="00E4308C" w:rsidP="00E4308C">
      <w:pPr>
        <w:pStyle w:val="xmsonormal"/>
        <w:shd w:val="clear" w:color="auto" w:fill="FFFFFF"/>
        <w:spacing w:before="0" w:beforeAutospacing="0" w:after="0" w:afterAutospacing="0"/>
        <w:rPr>
          <w:b/>
          <w:bCs/>
          <w:color w:val="000000" w:themeColor="text1"/>
          <w:bdr w:val="none" w:sz="0" w:space="0" w:color="auto" w:frame="1"/>
        </w:rPr>
      </w:pPr>
      <w:r w:rsidRPr="00B565F0">
        <w:rPr>
          <w:b/>
          <w:bCs/>
          <w:color w:val="000000" w:themeColor="text1"/>
          <w:bdr w:val="none" w:sz="0" w:space="0" w:color="auto" w:frame="1"/>
        </w:rPr>
        <w:t>ADDITIONAL COMMENTS:</w:t>
      </w:r>
    </w:p>
    <w:p w14:paraId="1ACF072D" w14:textId="26F89074" w:rsidR="009F731C" w:rsidRPr="00B565F0" w:rsidRDefault="00E4308C" w:rsidP="00E4308C">
      <w:pPr>
        <w:pStyle w:val="xmsonormal"/>
        <w:numPr>
          <w:ilvl w:val="0"/>
          <w:numId w:val="22"/>
        </w:numPr>
        <w:shd w:val="clear" w:color="auto" w:fill="FFFFFF"/>
        <w:spacing w:before="0" w:beforeAutospacing="0" w:after="0" w:afterAutospacing="0"/>
        <w:rPr>
          <w:color w:val="000000" w:themeColor="text1"/>
        </w:rPr>
      </w:pPr>
      <w:proofErr w:type="gramStart"/>
      <w:r w:rsidRPr="00B565F0">
        <w:rPr>
          <w:color w:val="000000" w:themeColor="text1"/>
          <w:bdr w:val="none" w:sz="0" w:space="0" w:color="auto" w:frame="1"/>
        </w:rPr>
        <w:t>Contractor</w:t>
      </w:r>
      <w:proofErr w:type="gramEnd"/>
      <w:r w:rsidRPr="00B565F0">
        <w:rPr>
          <w:color w:val="000000" w:themeColor="text1"/>
          <w:bdr w:val="none" w:sz="0" w:space="0" w:color="auto" w:frame="1"/>
        </w:rPr>
        <w:t xml:space="preserve"> must include in their bid pricing any related cost associated with the </w:t>
      </w:r>
      <w:proofErr w:type="gramStart"/>
      <w:r w:rsidRPr="00B565F0">
        <w:rPr>
          <w:color w:val="000000" w:themeColor="text1"/>
          <w:bdr w:val="none" w:sz="0" w:space="0" w:color="auto" w:frame="1"/>
        </w:rPr>
        <w:t>designing</w:t>
      </w:r>
      <w:proofErr w:type="gramEnd"/>
      <w:r w:rsidRPr="00B565F0">
        <w:rPr>
          <w:color w:val="000000" w:themeColor="text1"/>
          <w:bdr w:val="none" w:sz="0" w:space="0" w:color="auto" w:frame="1"/>
        </w:rPr>
        <w:t xml:space="preserve"> of the helical piles.</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2"/>
      <w:footerReference w:type="default" r:id="rId13"/>
      <w:headerReference w:type="first" r:id="rId14"/>
      <w:footerReference w:type="first" r:id="rId15"/>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B705E" w14:textId="77777777" w:rsidR="007C6606" w:rsidRDefault="007C6606">
      <w:r>
        <w:separator/>
      </w:r>
    </w:p>
  </w:endnote>
  <w:endnote w:type="continuationSeparator" w:id="0">
    <w:p w14:paraId="5229541B" w14:textId="77777777" w:rsidR="007C6606" w:rsidRDefault="007C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A9791" w14:textId="77777777" w:rsidR="007C6606" w:rsidRDefault="007C6606">
      <w:r>
        <w:separator/>
      </w:r>
    </w:p>
  </w:footnote>
  <w:footnote w:type="continuationSeparator" w:id="0">
    <w:p w14:paraId="7C32269E" w14:textId="77777777" w:rsidR="007C6606" w:rsidRDefault="007C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016D06DA" w:rsidR="0069382C" w:rsidRPr="00EA1F05" w:rsidRDefault="0069382C" w:rsidP="0069382C">
    <w:pPr>
      <w:pStyle w:val="Header"/>
      <w:tabs>
        <w:tab w:val="clear" w:pos="8640"/>
        <w:tab w:val="right" w:pos="9900"/>
      </w:tabs>
      <w:rPr>
        <w:b/>
        <w:bCs/>
      </w:rPr>
    </w:pPr>
    <w:r w:rsidRPr="00EA1F05">
      <w:rPr>
        <w:b/>
        <w:bCs/>
      </w:rPr>
      <w:t xml:space="preserve">ADDENDUM NO. </w:t>
    </w:r>
    <w:r w:rsidR="009F731C">
      <w:rPr>
        <w:b/>
        <w:bCs/>
      </w:rPr>
      <w:t>5</w:t>
    </w:r>
    <w:r w:rsidRPr="00EA1F05">
      <w:rPr>
        <w:b/>
        <w:bCs/>
      </w:rPr>
      <w:tab/>
    </w:r>
    <w:r w:rsidRPr="00EA1F05">
      <w:rPr>
        <w:b/>
        <w:bCs/>
      </w:rPr>
      <w:tab/>
    </w:r>
    <w:r w:rsidR="00EA1F05" w:rsidRPr="00EA1F05">
      <w:rPr>
        <w:b/>
        <w:bCs/>
      </w:rPr>
      <w:t>2</w:t>
    </w:r>
    <w:r w:rsidR="00DA4DE3">
      <w:rPr>
        <w:b/>
        <w:bCs/>
      </w:rPr>
      <w:t>5</w:t>
    </w:r>
    <w:r w:rsidR="00EA1F05" w:rsidRPr="00EA1F05">
      <w:rPr>
        <w:b/>
        <w:bCs/>
      </w:rPr>
      <w:t>-</w:t>
    </w:r>
    <w:r w:rsidR="009B3095">
      <w:rPr>
        <w:b/>
        <w:bCs/>
      </w:rPr>
      <w:t>447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020B"/>
    <w:multiLevelType w:val="hybridMultilevel"/>
    <w:tmpl w:val="76762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52437"/>
    <w:multiLevelType w:val="hybridMultilevel"/>
    <w:tmpl w:val="F61E8FCA"/>
    <w:lvl w:ilvl="0" w:tplc="F796EC2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B41012C"/>
    <w:multiLevelType w:val="hybridMultilevel"/>
    <w:tmpl w:val="3E1AE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0C6C"/>
    <w:multiLevelType w:val="hybridMultilevel"/>
    <w:tmpl w:val="10F61D82"/>
    <w:lvl w:ilvl="0" w:tplc="12F6BA64">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110F3273"/>
    <w:multiLevelType w:val="hybridMultilevel"/>
    <w:tmpl w:val="8BC4759A"/>
    <w:lvl w:ilvl="0" w:tplc="57D62BF4">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07FA3"/>
    <w:multiLevelType w:val="hybridMultilevel"/>
    <w:tmpl w:val="1CC4F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3D9187D"/>
    <w:multiLevelType w:val="hybridMultilevel"/>
    <w:tmpl w:val="B7548B3E"/>
    <w:lvl w:ilvl="0" w:tplc="1FC297A2">
      <w:start w:val="1"/>
      <w:numFmt w:val="upperLetter"/>
      <w:lvlText w:val="%1."/>
      <w:lvlJc w:val="left"/>
      <w:pPr>
        <w:ind w:left="720" w:hanging="360"/>
      </w:pPr>
      <w:rPr>
        <w:rFonts w:ascii="inherit" w:hAnsi="inheri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F7FAB"/>
    <w:multiLevelType w:val="hybridMultilevel"/>
    <w:tmpl w:val="B428FD24"/>
    <w:lvl w:ilvl="0" w:tplc="09EA9982">
      <w:start w:val="1"/>
      <w:numFmt w:val="upperLetter"/>
      <w:lvlText w:val="%1."/>
      <w:lvlJc w:val="left"/>
      <w:pPr>
        <w:ind w:left="720" w:hanging="360"/>
      </w:pPr>
      <w:rPr>
        <w:rFonts w:ascii="inherit" w:hAnsi="inherit" w:hint="default"/>
        <w:color w:val="00B05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410A9"/>
    <w:multiLevelType w:val="multilevel"/>
    <w:tmpl w:val="960271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12678"/>
    <w:multiLevelType w:val="hybridMultilevel"/>
    <w:tmpl w:val="495C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6CE730B"/>
    <w:multiLevelType w:val="hybridMultilevel"/>
    <w:tmpl w:val="104A506C"/>
    <w:lvl w:ilvl="0" w:tplc="B2002162">
      <w:start w:val="1"/>
      <w:numFmt w:val="upperLetter"/>
      <w:lvlText w:val="%1."/>
      <w:lvlJc w:val="left"/>
      <w:pPr>
        <w:ind w:left="-90" w:hanging="360"/>
      </w:pPr>
      <w:rPr>
        <w:rFonts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15:restartNumberingAfterBreak="0">
    <w:nsid w:val="62D71157"/>
    <w:multiLevelType w:val="hybridMultilevel"/>
    <w:tmpl w:val="73CA656A"/>
    <w:lvl w:ilvl="0" w:tplc="4232EF1A">
      <w:start w:val="5"/>
      <w:numFmt w:val="bullet"/>
      <w:lvlText w:val="-"/>
      <w:lvlJc w:val="left"/>
      <w:pPr>
        <w:ind w:left="720" w:hanging="360"/>
      </w:pPr>
      <w:rPr>
        <w:rFonts w:ascii="inherit" w:eastAsia="Times New Roman" w:hAnsi="inherit"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AF0472"/>
    <w:multiLevelType w:val="hybridMultilevel"/>
    <w:tmpl w:val="73C25CE6"/>
    <w:lvl w:ilvl="0" w:tplc="6EEE3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21"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5"/>
  </w:num>
  <w:num w:numId="2" w16cid:durableId="19864184">
    <w:abstractNumId w:val="20"/>
  </w:num>
  <w:num w:numId="3" w16cid:durableId="1569223518">
    <w:abstractNumId w:val="18"/>
  </w:num>
  <w:num w:numId="4" w16cid:durableId="584000639">
    <w:abstractNumId w:val="21"/>
  </w:num>
  <w:num w:numId="5" w16cid:durableId="489567764">
    <w:abstractNumId w:val="6"/>
  </w:num>
  <w:num w:numId="6" w16cid:durableId="445973893">
    <w:abstractNumId w:val="13"/>
  </w:num>
  <w:num w:numId="7" w16cid:durableId="1036589449">
    <w:abstractNumId w:val="11"/>
  </w:num>
  <w:num w:numId="8" w16cid:durableId="767965953">
    <w:abstractNumId w:val="15"/>
  </w:num>
  <w:num w:numId="9" w16cid:durableId="1435591811">
    <w:abstractNumId w:val="8"/>
  </w:num>
  <w:num w:numId="10" w16cid:durableId="1890261397">
    <w:abstractNumId w:val="7"/>
  </w:num>
  <w:num w:numId="11" w16cid:durableId="828788681">
    <w:abstractNumId w:val="2"/>
  </w:num>
  <w:num w:numId="12" w16cid:durableId="1798716577">
    <w:abstractNumId w:val="0"/>
  </w:num>
  <w:num w:numId="13" w16cid:durableId="696976748">
    <w:abstractNumId w:val="19"/>
  </w:num>
  <w:num w:numId="14" w16cid:durableId="1879272582">
    <w:abstractNumId w:val="14"/>
  </w:num>
  <w:num w:numId="15" w16cid:durableId="249125813">
    <w:abstractNumId w:val="1"/>
  </w:num>
  <w:num w:numId="16" w16cid:durableId="1038506704">
    <w:abstractNumId w:val="4"/>
  </w:num>
  <w:num w:numId="17" w16cid:durableId="874997508">
    <w:abstractNumId w:val="16"/>
  </w:num>
  <w:num w:numId="18" w16cid:durableId="530923143">
    <w:abstractNumId w:val="3"/>
  </w:num>
  <w:num w:numId="19" w16cid:durableId="549002478">
    <w:abstractNumId w:val="10"/>
  </w:num>
  <w:num w:numId="20" w16cid:durableId="707218747">
    <w:abstractNumId w:val="9"/>
  </w:num>
  <w:num w:numId="21" w16cid:durableId="829717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21687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aNjn1mE9g1NoyCpe1omjvJQAJyzmmXLcmmoIRFD+icGejBC5p2YGcL8owco+5QiMhaNz9tSKStv4tudsGJgww==" w:salt="r5ElcZJickdRc2IIbiC0j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34CC1"/>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1026"/>
    <w:rsid w:val="001167AC"/>
    <w:rsid w:val="001252A5"/>
    <w:rsid w:val="00125D8C"/>
    <w:rsid w:val="00132B21"/>
    <w:rsid w:val="00140EBE"/>
    <w:rsid w:val="00160D8F"/>
    <w:rsid w:val="001830C8"/>
    <w:rsid w:val="001841B5"/>
    <w:rsid w:val="00187610"/>
    <w:rsid w:val="00196E04"/>
    <w:rsid w:val="001A46D6"/>
    <w:rsid w:val="001B0446"/>
    <w:rsid w:val="001B54C3"/>
    <w:rsid w:val="001B5893"/>
    <w:rsid w:val="001C5C76"/>
    <w:rsid w:val="001D0E81"/>
    <w:rsid w:val="001D2C80"/>
    <w:rsid w:val="001D4B2B"/>
    <w:rsid w:val="001E5AC9"/>
    <w:rsid w:val="001F0E52"/>
    <w:rsid w:val="001F5985"/>
    <w:rsid w:val="001F757A"/>
    <w:rsid w:val="002053F0"/>
    <w:rsid w:val="00224BFC"/>
    <w:rsid w:val="002315C6"/>
    <w:rsid w:val="002320AE"/>
    <w:rsid w:val="00241DF8"/>
    <w:rsid w:val="002421D8"/>
    <w:rsid w:val="002460D7"/>
    <w:rsid w:val="002536F8"/>
    <w:rsid w:val="0025668B"/>
    <w:rsid w:val="002641FE"/>
    <w:rsid w:val="00271D07"/>
    <w:rsid w:val="002735DD"/>
    <w:rsid w:val="0027455F"/>
    <w:rsid w:val="002763BF"/>
    <w:rsid w:val="002815E8"/>
    <w:rsid w:val="002B2528"/>
    <w:rsid w:val="002D369E"/>
    <w:rsid w:val="002D4C1C"/>
    <w:rsid w:val="002E2E2C"/>
    <w:rsid w:val="002F3B18"/>
    <w:rsid w:val="003016A9"/>
    <w:rsid w:val="00330218"/>
    <w:rsid w:val="00345D8F"/>
    <w:rsid w:val="00347217"/>
    <w:rsid w:val="0034755A"/>
    <w:rsid w:val="00362BF4"/>
    <w:rsid w:val="0036641A"/>
    <w:rsid w:val="00385A10"/>
    <w:rsid w:val="0038787D"/>
    <w:rsid w:val="003A18D7"/>
    <w:rsid w:val="003A632F"/>
    <w:rsid w:val="003A7DCC"/>
    <w:rsid w:val="003B5832"/>
    <w:rsid w:val="003F09B1"/>
    <w:rsid w:val="003F206F"/>
    <w:rsid w:val="003F2FBF"/>
    <w:rsid w:val="003F6E82"/>
    <w:rsid w:val="003F7609"/>
    <w:rsid w:val="00402147"/>
    <w:rsid w:val="004131A7"/>
    <w:rsid w:val="00426BCD"/>
    <w:rsid w:val="00430EDF"/>
    <w:rsid w:val="004608E6"/>
    <w:rsid w:val="00464CAE"/>
    <w:rsid w:val="00467D9A"/>
    <w:rsid w:val="0048032D"/>
    <w:rsid w:val="004B1918"/>
    <w:rsid w:val="004C3C70"/>
    <w:rsid w:val="004E3EE4"/>
    <w:rsid w:val="0050375E"/>
    <w:rsid w:val="00504844"/>
    <w:rsid w:val="005055D3"/>
    <w:rsid w:val="00517FFC"/>
    <w:rsid w:val="00523D30"/>
    <w:rsid w:val="00525414"/>
    <w:rsid w:val="00525FD8"/>
    <w:rsid w:val="0052661D"/>
    <w:rsid w:val="00556155"/>
    <w:rsid w:val="0057065C"/>
    <w:rsid w:val="005707DB"/>
    <w:rsid w:val="005B37C1"/>
    <w:rsid w:val="005C43BF"/>
    <w:rsid w:val="005D3CB7"/>
    <w:rsid w:val="00603ED8"/>
    <w:rsid w:val="00605C06"/>
    <w:rsid w:val="0061414A"/>
    <w:rsid w:val="0064276A"/>
    <w:rsid w:val="00646824"/>
    <w:rsid w:val="00653049"/>
    <w:rsid w:val="006564E6"/>
    <w:rsid w:val="00660CA2"/>
    <w:rsid w:val="006725EC"/>
    <w:rsid w:val="0069382C"/>
    <w:rsid w:val="006D745E"/>
    <w:rsid w:val="00706554"/>
    <w:rsid w:val="00707723"/>
    <w:rsid w:val="00710E05"/>
    <w:rsid w:val="007124B6"/>
    <w:rsid w:val="007368C3"/>
    <w:rsid w:val="00740BC6"/>
    <w:rsid w:val="00783163"/>
    <w:rsid w:val="00785DA3"/>
    <w:rsid w:val="007A5299"/>
    <w:rsid w:val="007B05F6"/>
    <w:rsid w:val="007C6606"/>
    <w:rsid w:val="007F6F6F"/>
    <w:rsid w:val="00801C61"/>
    <w:rsid w:val="0080285B"/>
    <w:rsid w:val="0080437C"/>
    <w:rsid w:val="00804ECA"/>
    <w:rsid w:val="00807860"/>
    <w:rsid w:val="00830EBE"/>
    <w:rsid w:val="00831988"/>
    <w:rsid w:val="00834596"/>
    <w:rsid w:val="00837F13"/>
    <w:rsid w:val="008428B7"/>
    <w:rsid w:val="00845236"/>
    <w:rsid w:val="00855896"/>
    <w:rsid w:val="0087510B"/>
    <w:rsid w:val="008762A3"/>
    <w:rsid w:val="00884FB7"/>
    <w:rsid w:val="008933CB"/>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6045F"/>
    <w:rsid w:val="00992C79"/>
    <w:rsid w:val="00997447"/>
    <w:rsid w:val="009A0713"/>
    <w:rsid w:val="009A5699"/>
    <w:rsid w:val="009A68A8"/>
    <w:rsid w:val="009B3095"/>
    <w:rsid w:val="009C0C09"/>
    <w:rsid w:val="009D2D83"/>
    <w:rsid w:val="009D66F5"/>
    <w:rsid w:val="009E1C74"/>
    <w:rsid w:val="009E2A73"/>
    <w:rsid w:val="009E4371"/>
    <w:rsid w:val="009E4D9A"/>
    <w:rsid w:val="009F6C19"/>
    <w:rsid w:val="009F731C"/>
    <w:rsid w:val="00A07B66"/>
    <w:rsid w:val="00A24F95"/>
    <w:rsid w:val="00A2718B"/>
    <w:rsid w:val="00A32AF0"/>
    <w:rsid w:val="00A34AFE"/>
    <w:rsid w:val="00A5510B"/>
    <w:rsid w:val="00A6185C"/>
    <w:rsid w:val="00A72F3F"/>
    <w:rsid w:val="00A87373"/>
    <w:rsid w:val="00A93012"/>
    <w:rsid w:val="00AA0309"/>
    <w:rsid w:val="00AA2A5A"/>
    <w:rsid w:val="00AD4A23"/>
    <w:rsid w:val="00AE7A18"/>
    <w:rsid w:val="00B06370"/>
    <w:rsid w:val="00B0749A"/>
    <w:rsid w:val="00B07A2C"/>
    <w:rsid w:val="00B07A7F"/>
    <w:rsid w:val="00B517FF"/>
    <w:rsid w:val="00B52144"/>
    <w:rsid w:val="00B565F0"/>
    <w:rsid w:val="00B57064"/>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35B8E"/>
    <w:rsid w:val="00C518D9"/>
    <w:rsid w:val="00C5202C"/>
    <w:rsid w:val="00C523CA"/>
    <w:rsid w:val="00C54BBE"/>
    <w:rsid w:val="00C65E0D"/>
    <w:rsid w:val="00C66A0C"/>
    <w:rsid w:val="00C76F07"/>
    <w:rsid w:val="00C83188"/>
    <w:rsid w:val="00C95E9D"/>
    <w:rsid w:val="00CA1A27"/>
    <w:rsid w:val="00CB1B38"/>
    <w:rsid w:val="00CC306A"/>
    <w:rsid w:val="00CC4FF2"/>
    <w:rsid w:val="00CD038E"/>
    <w:rsid w:val="00CE0010"/>
    <w:rsid w:val="00CE6B84"/>
    <w:rsid w:val="00CF0A59"/>
    <w:rsid w:val="00CF68E6"/>
    <w:rsid w:val="00D01ADF"/>
    <w:rsid w:val="00D15556"/>
    <w:rsid w:val="00D20816"/>
    <w:rsid w:val="00D258A9"/>
    <w:rsid w:val="00D4336C"/>
    <w:rsid w:val="00D454B6"/>
    <w:rsid w:val="00DA3AE8"/>
    <w:rsid w:val="00DA4DE3"/>
    <w:rsid w:val="00DB7FA9"/>
    <w:rsid w:val="00DC0310"/>
    <w:rsid w:val="00DC457D"/>
    <w:rsid w:val="00DC68A5"/>
    <w:rsid w:val="00DD2371"/>
    <w:rsid w:val="00DD4532"/>
    <w:rsid w:val="00DF5FD3"/>
    <w:rsid w:val="00E12DB6"/>
    <w:rsid w:val="00E230FD"/>
    <w:rsid w:val="00E4308C"/>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50A0"/>
    <w:rsid w:val="00F965D9"/>
    <w:rsid w:val="00FA6F92"/>
    <w:rsid w:val="00FB3549"/>
    <w:rsid w:val="00FB3906"/>
    <w:rsid w:val="00FC302F"/>
    <w:rsid w:val="00FC3E6E"/>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paragraph" w:styleId="Revision">
    <w:name w:val="Revision"/>
    <w:hidden/>
    <w:uiPriority w:val="99"/>
    <w:semiHidden/>
    <w:rsid w:val="00DF5FD3"/>
    <w:rPr>
      <w:snapToGrid w:val="0"/>
      <w:sz w:val="24"/>
    </w:rPr>
  </w:style>
  <w:style w:type="paragraph" w:customStyle="1" w:styleId="xmsonormal">
    <w:name w:val="x_msonormal"/>
    <w:basedOn w:val="Normal"/>
    <w:rsid w:val="009E1C74"/>
    <w:pPr>
      <w:widowControl/>
      <w:spacing w:before="100" w:beforeAutospacing="1" w:after="100" w:afterAutospacing="1"/>
    </w:pPr>
    <w:rPr>
      <w:snapToGrid/>
      <w:szCs w:val="24"/>
    </w:rPr>
  </w:style>
  <w:style w:type="paragraph" w:customStyle="1" w:styleId="xelementtoproof">
    <w:name w:val="x_elementtoproof"/>
    <w:basedOn w:val="Normal"/>
    <w:rsid w:val="009E1C74"/>
    <w:pPr>
      <w:widowControl/>
      <w:spacing w:before="100" w:beforeAutospacing="1" w:after="100" w:afterAutospacing="1"/>
    </w:pPr>
    <w:rPr>
      <w:snapToGrid/>
      <w:szCs w:val="24"/>
    </w:rPr>
  </w:style>
  <w:style w:type="paragraph" w:styleId="NormalWeb">
    <w:name w:val="Normal (Web)"/>
    <w:basedOn w:val="Normal"/>
    <w:uiPriority w:val="99"/>
    <w:unhideWhenUsed/>
    <w:rsid w:val="009E1C74"/>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2723565">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784421340">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B54C3"/>
    <w:rsid w:val="001D0E81"/>
    <w:rsid w:val="001F0E52"/>
    <w:rsid w:val="0048083F"/>
    <w:rsid w:val="004E3EE4"/>
    <w:rsid w:val="005247F9"/>
    <w:rsid w:val="006605A2"/>
    <w:rsid w:val="00801C61"/>
    <w:rsid w:val="008933CB"/>
    <w:rsid w:val="008F6B69"/>
    <w:rsid w:val="00925724"/>
    <w:rsid w:val="009A0713"/>
    <w:rsid w:val="009C0C09"/>
    <w:rsid w:val="009E4D9A"/>
    <w:rsid w:val="00B0749A"/>
    <w:rsid w:val="00CE6B84"/>
    <w:rsid w:val="00CF0A59"/>
    <w:rsid w:val="00FC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4802</Characters>
  <Application>Microsoft Office Word</Application>
  <DocSecurity>0</DocSecurity>
  <Lines>82</Lines>
  <Paragraphs>48</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Rogers, Sandra</dc:creator>
  <cp:keywords/>
  <cp:lastModifiedBy>Rogers, Sandra</cp:lastModifiedBy>
  <cp:revision>3</cp:revision>
  <cp:lastPrinted>2020-04-01T15:04:00Z</cp:lastPrinted>
  <dcterms:created xsi:type="dcterms:W3CDTF">2025-08-26T16:52:00Z</dcterms:created>
  <dcterms:modified xsi:type="dcterms:W3CDTF">2025-08-26T16:52:00Z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