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68F2D28B" w14:textId="77777777" w:rsidR="00EF6DE1" w:rsidRDefault="00EF6DE1" w:rsidP="00D258A9">
      <w:pPr>
        <w:tabs>
          <w:tab w:val="left" w:pos="7020"/>
        </w:tabs>
        <w:rPr>
          <w:b/>
          <w:szCs w:val="24"/>
        </w:rPr>
      </w:pPr>
    </w:p>
    <w:p w14:paraId="5E2E8274" w14:textId="3232FBCE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F6DE1">
        <w:rPr>
          <w:bCs/>
          <w:szCs w:val="24"/>
        </w:rPr>
        <w:t>Geological and Hydrogeologic Services, On-Call for LCWA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EF6DE1">
        <w:rPr>
          <w:szCs w:val="24"/>
        </w:rPr>
        <w:t>06/25/2025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03C1F22D" w:rsidR="00EA1F05" w:rsidRPr="00DA4DE3" w:rsidRDefault="00EA1F05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DA4DE3">
        <w:rPr>
          <w:rFonts w:ascii="Times New Roman" w:hAnsi="Times New Roman"/>
          <w:color w:val="000000"/>
          <w:sz w:val="24"/>
          <w:szCs w:val="24"/>
        </w:rPr>
        <w:t>Wh</w:t>
      </w:r>
      <w:r w:rsidR="007A1973">
        <w:rPr>
          <w:rFonts w:ascii="Times New Roman" w:hAnsi="Times New Roman"/>
          <w:color w:val="000000"/>
          <w:sz w:val="24"/>
          <w:szCs w:val="24"/>
        </w:rPr>
        <w:t>y has the County issued this solicitation when awards were made in March 2025 for what appears to be the same services, under 25-409?</w:t>
      </w:r>
    </w:p>
    <w:p w14:paraId="502707AC" w14:textId="2205D8F7" w:rsidR="002D4C1C" w:rsidRPr="00DA4DE3" w:rsidRDefault="0047135C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25-409 is for Geological and Hydrogeological Services for Lake County. </w:t>
      </w:r>
      <w:r w:rsidR="007A1973">
        <w:rPr>
          <w:b/>
          <w:bCs/>
          <w:color w:val="000000"/>
          <w:szCs w:val="24"/>
        </w:rPr>
        <w:t>25-437 is for Geological and Hydrogeologic Services for the Lake County Water Authority.</w:t>
      </w:r>
    </w:p>
    <w:p w14:paraId="6B9F4DDC" w14:textId="5A312EE3" w:rsidR="00EA1F05" w:rsidRDefault="007A1973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 LCWA able to utilize the consultants who were issued contracts under Contract 25-409</w:t>
      </w:r>
      <w:r w:rsidR="000B2D8E">
        <w:rPr>
          <w:rFonts w:ascii="Times New Roman" w:hAnsi="Times New Roman"/>
          <w:color w:val="000000"/>
          <w:sz w:val="24"/>
          <w:szCs w:val="24"/>
        </w:rPr>
        <w:t>?</w:t>
      </w:r>
    </w:p>
    <w:p w14:paraId="2223DDBF" w14:textId="6B83F819" w:rsidR="00DA4DE3" w:rsidRPr="0047135C" w:rsidRDefault="007A1973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Theme="minorHAnsi" w:hAnsiTheme="minorHAnsi" w:cstheme="minorHAnsi"/>
          <w:b/>
          <w:bCs/>
          <w:color w:val="000000"/>
        </w:rPr>
      </w:pPr>
      <w:r w:rsidRPr="0047135C">
        <w:rPr>
          <w:rFonts w:asciiTheme="minorHAnsi" w:hAnsiTheme="minorHAnsi" w:cstheme="minorHAnsi"/>
          <w:b/>
          <w:bCs/>
          <w:color w:val="000000"/>
        </w:rPr>
        <w:t>No, per Florida Statutes 287.055(2)(g)</w:t>
      </w:r>
      <w:r w:rsidR="0047135C">
        <w:rPr>
          <w:rFonts w:asciiTheme="minorHAnsi" w:hAnsiTheme="minorHAnsi" w:cstheme="minorHAnsi"/>
          <w:b/>
          <w:bCs/>
          <w:color w:val="000000"/>
        </w:rPr>
        <w:t>, professional services, which encompasses the practice of architectur</w:t>
      </w:r>
      <w:r w:rsidR="000B2D8E">
        <w:rPr>
          <w:rFonts w:asciiTheme="minorHAnsi" w:hAnsiTheme="minorHAnsi" w:cstheme="minorHAnsi"/>
          <w:b/>
          <w:bCs/>
          <w:color w:val="000000"/>
        </w:rPr>
        <w:t>e</w:t>
      </w:r>
      <w:r w:rsidR="0047135C">
        <w:rPr>
          <w:rFonts w:asciiTheme="minorHAnsi" w:hAnsiTheme="minorHAnsi" w:cstheme="minorHAnsi"/>
          <w:b/>
          <w:bCs/>
          <w:color w:val="000000"/>
        </w:rPr>
        <w:t>, professional engineering, landscape architecture, or surveying and mapping services, are subject to the Competitive Consultant Negotiation Act (CCNA), and are excluded from the authority to piggyback.</w:t>
      </w:r>
    </w:p>
    <w:p w14:paraId="088DBAD5" w14:textId="781BBE6D" w:rsidR="00DA4DE3" w:rsidRDefault="007A1973" w:rsidP="007A197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4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 LCWA received additional funding for projects or services that cannot be provided by the Contract 25-409 selected consultants?</w:t>
      </w:r>
    </w:p>
    <w:p w14:paraId="19960857" w14:textId="2B7DC9A9" w:rsidR="00DA4DE3" w:rsidRPr="0047135C" w:rsidRDefault="007A1973" w:rsidP="00DA4DE3">
      <w:pPr>
        <w:pStyle w:val="ListParagraph"/>
        <w:numPr>
          <w:ilvl w:val="1"/>
          <w:numId w:val="8"/>
        </w:numPr>
        <w:tabs>
          <w:tab w:val="left" w:pos="900"/>
        </w:tabs>
        <w:spacing w:after="160"/>
        <w:ind w:left="540" w:hanging="450"/>
        <w:jc w:val="both"/>
        <w:rPr>
          <w:rFonts w:asciiTheme="minorHAnsi" w:hAnsiTheme="minorHAnsi" w:cstheme="minorHAnsi"/>
          <w:b/>
          <w:bCs/>
          <w:color w:val="000000"/>
        </w:rPr>
      </w:pPr>
      <w:r w:rsidRPr="0047135C">
        <w:rPr>
          <w:rFonts w:asciiTheme="minorHAnsi" w:hAnsiTheme="minorHAnsi" w:cstheme="minorHAnsi"/>
          <w:b/>
          <w:bCs/>
          <w:color w:val="000000"/>
        </w:rPr>
        <w:t>No.</w:t>
      </w:r>
    </w:p>
    <w:p w14:paraId="6CB1212C" w14:textId="62541357" w:rsidR="007A1973" w:rsidRPr="007A1973" w:rsidRDefault="007A1973" w:rsidP="007A1973">
      <w:pPr>
        <w:tabs>
          <w:tab w:val="left" w:pos="900"/>
        </w:tabs>
        <w:spacing w:after="160"/>
        <w:ind w:hanging="446"/>
        <w:jc w:val="both"/>
        <w:rPr>
          <w:color w:val="000000"/>
          <w:szCs w:val="24"/>
        </w:rPr>
      </w:pPr>
      <w:r>
        <w:rPr>
          <w:color w:val="000000"/>
          <w:szCs w:val="24"/>
        </w:rPr>
        <w:t>Q4.</w:t>
      </w:r>
      <w:r>
        <w:rPr>
          <w:color w:val="000000"/>
          <w:szCs w:val="24"/>
        </w:rPr>
        <w:tab/>
        <w:t>Because the question submittal deadline is July 10</w:t>
      </w:r>
      <w:r w:rsidRPr="007A1973">
        <w:rPr>
          <w:color w:val="000000"/>
          <w:szCs w:val="24"/>
          <w:vertAlign w:val="superscript"/>
        </w:rPr>
        <w:t>th</w:t>
      </w:r>
      <w:r>
        <w:rPr>
          <w:color w:val="000000"/>
          <w:szCs w:val="24"/>
        </w:rPr>
        <w:t xml:space="preserve">, </w:t>
      </w:r>
      <w:proofErr w:type="gramStart"/>
      <w:r>
        <w:rPr>
          <w:color w:val="000000"/>
          <w:szCs w:val="24"/>
        </w:rPr>
        <w:t>the LCWA</w:t>
      </w:r>
      <w:proofErr w:type="gramEnd"/>
      <w:r>
        <w:rPr>
          <w:color w:val="000000"/>
          <w:szCs w:val="24"/>
        </w:rPr>
        <w:t xml:space="preserve"> will consider extending the response deadline beyond July 22</w:t>
      </w:r>
      <w:r w:rsidRPr="007A1973">
        <w:rPr>
          <w:color w:val="000000"/>
          <w:szCs w:val="24"/>
          <w:vertAlign w:val="superscript"/>
        </w:rPr>
        <w:t>nd</w:t>
      </w:r>
      <w:r>
        <w:rPr>
          <w:color w:val="000000"/>
          <w:szCs w:val="24"/>
        </w:rPr>
        <w:t>.</w:t>
      </w:r>
    </w:p>
    <w:p w14:paraId="289B9662" w14:textId="1990FE97" w:rsidR="007A1973" w:rsidRPr="0047135C" w:rsidRDefault="007A1973" w:rsidP="00DA4DE3">
      <w:pPr>
        <w:pStyle w:val="ListParagraph"/>
        <w:numPr>
          <w:ilvl w:val="1"/>
          <w:numId w:val="8"/>
        </w:numPr>
        <w:tabs>
          <w:tab w:val="left" w:pos="900"/>
        </w:tabs>
        <w:spacing w:after="160"/>
        <w:ind w:left="540" w:hanging="450"/>
        <w:jc w:val="both"/>
        <w:rPr>
          <w:rFonts w:asciiTheme="minorHAnsi" w:hAnsiTheme="minorHAnsi" w:cstheme="minorHAnsi"/>
          <w:b/>
          <w:bCs/>
          <w:color w:val="000000"/>
        </w:rPr>
      </w:pPr>
      <w:r w:rsidRPr="0047135C">
        <w:rPr>
          <w:rFonts w:asciiTheme="minorHAnsi" w:hAnsiTheme="minorHAnsi" w:cstheme="minorHAnsi"/>
          <w:b/>
          <w:bCs/>
          <w:color w:val="000000"/>
        </w:rPr>
        <w:t>No.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lastRenderedPageBreak/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636449BB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EF6DE1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EF6DE1">
      <w:rPr>
        <w:b/>
        <w:bCs/>
      </w:rPr>
      <w:t>437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L2Hslxpj8cTPOxLQBlnGEu41Nv7CSa3G2YzbpSbKWyTdXQ6VERvmSHZG6GoQ6XHR9Td2VnTPmLlSpgFLzIu1w==" w:salt="A1QDbzvaaaSFA8md0DkDW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B2D8E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7135C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3620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197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60A18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C77B8"/>
    <w:rsid w:val="00EE17FC"/>
    <w:rsid w:val="00EE3D54"/>
    <w:rsid w:val="00EF5966"/>
    <w:rsid w:val="00EF6DE1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5C3620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3</cp:revision>
  <cp:lastPrinted>2020-04-01T15:04:00Z</cp:lastPrinted>
  <dcterms:created xsi:type="dcterms:W3CDTF">2025-06-25T14:59:00Z</dcterms:created>
  <dcterms:modified xsi:type="dcterms:W3CDTF">2025-06-25T14:59:00Z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