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872D2F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35599" w:rsidRPr="00235599">
        <w:rPr>
          <w:b/>
          <w:szCs w:val="24"/>
        </w:rPr>
        <w:t>East Lake Temporary Library</w:t>
      </w:r>
      <w:r w:rsidR="00235599">
        <w:rPr>
          <w:b/>
          <w:szCs w:val="24"/>
        </w:rPr>
        <w:t xml:space="preserve"> Facility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235599">
        <w:rPr>
          <w:szCs w:val="24"/>
        </w:rPr>
        <w:t>0</w:t>
      </w:r>
      <w:r w:rsidR="00A06A5F">
        <w:rPr>
          <w:szCs w:val="24"/>
        </w:rPr>
        <w:t>4</w:t>
      </w:r>
      <w:r w:rsidR="00235599">
        <w:rPr>
          <w:szCs w:val="24"/>
        </w:rPr>
        <w:t>/</w:t>
      </w:r>
      <w:r w:rsidR="00A06A5F">
        <w:rPr>
          <w:szCs w:val="24"/>
        </w:rPr>
        <w:t>17</w:t>
      </w:r>
      <w:r w:rsidR="00C3031B">
        <w:rPr>
          <w:szCs w:val="24"/>
        </w:rPr>
        <w:t>/202</w:t>
      </w:r>
      <w:r w:rsidR="00235599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01EC2134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</w:t>
      </w:r>
      <w:r w:rsidRPr="00A06A5F">
        <w:rPr>
          <w:b/>
          <w:bCs/>
        </w:rPr>
        <w:t>CHANGE</w:t>
      </w:r>
      <w:r w:rsidR="00A06A5F" w:rsidRPr="00A06A5F">
        <w:rPr>
          <w:b/>
          <w:bCs/>
        </w:rPr>
        <w:t>S</w:t>
      </w:r>
      <w:r w:rsidRPr="00A06A5F">
        <w:rPr>
          <w:b/>
          <w:bCs/>
        </w:rPr>
        <w:t xml:space="preserve"> THE DATE </w:t>
      </w:r>
      <w:r w:rsidRPr="008E5F15">
        <w:t>FOR RECEIPT OF PROPOSALS</w:t>
      </w:r>
      <w:r w:rsidR="00A06A5F">
        <w:t xml:space="preserve"> </w:t>
      </w:r>
      <w:r w:rsidR="00A06A5F" w:rsidRPr="00A06A5F">
        <w:rPr>
          <w:b/>
          <w:bCs/>
        </w:rPr>
        <w:t>TO 04/30/2024</w:t>
      </w:r>
      <w:r w:rsidRPr="008E5F15">
        <w:t>.</w:t>
      </w:r>
    </w:p>
    <w:p w14:paraId="254BCA53" w14:textId="3222A17B" w:rsidR="00CF68E6" w:rsidRDefault="00A06A5F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Questions</w:t>
      </w:r>
      <w:r w:rsidR="00CB6AA0">
        <w:rPr>
          <w:b/>
          <w:bCs/>
          <w:u w:val="single"/>
        </w:rPr>
        <w:t xml:space="preserve"> to be answered in </w:t>
      </w:r>
      <w:proofErr w:type="spellStart"/>
      <w:r w:rsidR="00CB6AA0">
        <w:rPr>
          <w:b/>
          <w:bCs/>
          <w:u w:val="single"/>
        </w:rPr>
        <w:t>Addedum</w:t>
      </w:r>
      <w:proofErr w:type="spellEnd"/>
      <w:r w:rsidR="00CB6AA0">
        <w:rPr>
          <w:b/>
          <w:bCs/>
          <w:u w:val="single"/>
        </w:rPr>
        <w:t xml:space="preserve"> No.3</w:t>
      </w:r>
    </w:p>
    <w:p w14:paraId="02095BB3" w14:textId="74B06E9A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04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z w:val="24"/>
          <w:szCs w:val="24"/>
        </w:rPr>
        <w:t>The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electric</w:t>
      </w:r>
      <w:r w:rsidRPr="00A06A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riser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diagram</w:t>
      </w:r>
      <w:r w:rsidRPr="00A06A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shows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only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a</w:t>
      </w:r>
      <w:r w:rsidRPr="00A06A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meter</w:t>
      </w:r>
      <w:r w:rsidRPr="00A06A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with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no</w:t>
      </w:r>
      <w:r w:rsidRPr="00A06A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disconnecting</w:t>
      </w:r>
      <w:r w:rsidRPr="00A06A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means.</w:t>
      </w:r>
      <w:r w:rsidRPr="00A06A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Please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 xml:space="preserve">conﬁrm </w:t>
      </w:r>
      <w:r w:rsidRPr="00A06A5F">
        <w:rPr>
          <w:rFonts w:ascii="Times New Roman" w:hAnsi="Times New Roman"/>
          <w:w w:val="110"/>
          <w:sz w:val="24"/>
          <w:szCs w:val="24"/>
        </w:rPr>
        <w:t>this is correct?</w:t>
      </w:r>
    </w:p>
    <w:p w14:paraId="7E72839E" w14:textId="26022573" w:rsidR="00A06A5F" w:rsidRPr="00A06A5F" w:rsidRDefault="00A06A5F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b/>
          <w:bCs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3C0F8445" w14:textId="77777777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pacing w:val="-2"/>
          <w:w w:val="105"/>
          <w:sz w:val="24"/>
          <w:szCs w:val="24"/>
        </w:rPr>
        <w:t>Are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we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include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new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downspouts throughout the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perimeter?</w:t>
      </w:r>
    </w:p>
    <w:p w14:paraId="22DA89DB" w14:textId="6BD7CB93" w:rsidR="00A06A5F" w:rsidRPr="00A06A5F" w:rsidRDefault="00A06A5F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3A522548" w14:textId="77777777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222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Are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required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bring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any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of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existing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electrical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work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up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code?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(i.e.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existing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exit lights</w:t>
      </w:r>
      <w:r w:rsidRPr="00A06A5F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that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may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or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may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not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be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working,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existing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exterior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outlets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that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are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not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waterproof,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A06A5F">
        <w:rPr>
          <w:rFonts w:ascii="Times New Roman" w:hAnsi="Times New Roman"/>
          <w:w w:val="105"/>
          <w:sz w:val="24"/>
          <w:szCs w:val="24"/>
        </w:rPr>
        <w:t>etc</w:t>
      </w:r>
      <w:proofErr w:type="spellEnd"/>
      <w:r w:rsidRPr="00A06A5F">
        <w:rPr>
          <w:rFonts w:ascii="Times New Roman" w:hAnsi="Times New Roman"/>
          <w:w w:val="105"/>
          <w:sz w:val="24"/>
          <w:szCs w:val="24"/>
        </w:rPr>
        <w:t>)</w:t>
      </w:r>
    </w:p>
    <w:p w14:paraId="18BBEB45" w14:textId="198CCF47" w:rsidR="00A06A5F" w:rsidRPr="00A06A5F" w:rsidRDefault="00A06A5F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5D4415AA" w14:textId="77777777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pacing w:val="-2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there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a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preferred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make</w:t>
      </w:r>
      <w:r w:rsidRPr="00A06A5F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&amp;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model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for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LVT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ﬂooring?</w:t>
      </w:r>
    </w:p>
    <w:p w14:paraId="2650FED7" w14:textId="522658AF" w:rsidR="00A06A5F" w:rsidRPr="00A06A5F" w:rsidRDefault="00A06A5F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18000529" w14:textId="77777777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z w:val="24"/>
          <w:szCs w:val="24"/>
        </w:rPr>
        <w:t>Please</w:t>
      </w:r>
      <w:r w:rsidRPr="00A06A5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advise</w:t>
      </w:r>
      <w:r w:rsidRPr="00A06A5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on</w:t>
      </w:r>
      <w:r w:rsidRPr="00A06A5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the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speciﬁcations/design</w:t>
      </w:r>
      <w:r w:rsidRPr="00A06A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for</w:t>
      </w:r>
      <w:r w:rsidRPr="00A06A5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the</w:t>
      </w:r>
      <w:r w:rsidRPr="00A06A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handicap</w:t>
      </w:r>
      <w:r w:rsidRPr="00A06A5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ramp</w:t>
      </w:r>
      <w:r w:rsidRPr="00A06A5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&amp;</w:t>
      </w:r>
      <w:r w:rsidRPr="00A06A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sz w:val="24"/>
          <w:szCs w:val="24"/>
        </w:rPr>
        <w:t>stairs</w:t>
      </w:r>
    </w:p>
    <w:p w14:paraId="27DCE818" w14:textId="3950A76A" w:rsidR="00A06A5F" w:rsidRPr="00A06A5F" w:rsidRDefault="00A06A5F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>A:</w:t>
      </w:r>
    </w:p>
    <w:p w14:paraId="53D2A6AC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208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Sheet E111 shows a new transformer and meter for the modular buildings however the Conduit Drawing appears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 how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electrical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for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modular building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being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fed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from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 existing electrical service at the mini-Library. Please conﬁrm which is correct. If a new transformer will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placed adjacent to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modulars,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please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conﬁrm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power company will be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responsible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for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 primary conduit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&amp; wire,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as well as setting the new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transformer.</w:t>
      </w:r>
    </w:p>
    <w:p w14:paraId="3FB81CD3" w14:textId="62EA77F1" w:rsidR="00380C61" w:rsidRPr="00A06A5F" w:rsidRDefault="00380C61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5350F7D7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there</w:t>
      </w:r>
      <w:r w:rsidRPr="00A06A5F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speciﬁc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manufacturer</w:t>
      </w:r>
      <w:r w:rsidRPr="00A06A5F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or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model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for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building</w:t>
      </w:r>
      <w:r w:rsidRPr="00A06A5F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skirting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that</w:t>
      </w:r>
      <w:r w:rsidRPr="00A06A5F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desired?</w:t>
      </w:r>
    </w:p>
    <w:p w14:paraId="4F3A8795" w14:textId="1E8528BD" w:rsidR="00380C61" w:rsidRPr="00A06A5F" w:rsidRDefault="00380C61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6440C766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45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What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desired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R-value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of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tapered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roof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insulation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system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as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well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as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thickness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of the TPO rooﬁng membrane?</w:t>
      </w:r>
    </w:p>
    <w:p w14:paraId="6FC42EAD" w14:textId="5EBDD0D1" w:rsidR="00380C61" w:rsidRPr="00A06A5F" w:rsidRDefault="00380C61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242E7B28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60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Please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conﬁrm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intent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repaint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entire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exterior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façade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match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adjacent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mini- Library building. Are you able to provide the paint colors from this building?</w:t>
      </w:r>
    </w:p>
    <w:p w14:paraId="530127AA" w14:textId="62FBA568" w:rsidR="00380C61" w:rsidRPr="00A06A5F" w:rsidRDefault="00380C61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263784F9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705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z w:val="24"/>
          <w:szCs w:val="24"/>
        </w:rPr>
        <w:t>Please conﬁrm the intent is</w:t>
      </w:r>
      <w:r w:rsidRPr="00A06A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to repaint the entire interior space (walls &amp;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ceilings).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Have</w:t>
      </w:r>
      <w:r w:rsidRPr="00A06A5F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10"/>
          <w:sz w:val="24"/>
          <w:szCs w:val="24"/>
        </w:rPr>
        <w:lastRenderedPageBreak/>
        <w:t>colors/sheens been selected?</w:t>
      </w:r>
    </w:p>
    <w:p w14:paraId="58DC317D" w14:textId="412D8C5A" w:rsidR="00380C61" w:rsidRPr="00A06A5F" w:rsidRDefault="00380C61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3AF51D53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09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Please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conﬁrm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if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temporary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construction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fencing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will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required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secure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construction area since the adjacent park &amp; parking lot will be active.</w:t>
      </w:r>
    </w:p>
    <w:p w14:paraId="3C4A226C" w14:textId="2FCE3690" w:rsidR="00380C61" w:rsidRPr="00A06A5F" w:rsidRDefault="00380C61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6872BCF6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99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Site Plan 1.2 shows to open cut existing asphalt pavement for the sewer and water connection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modular</w:t>
      </w:r>
      <w:r w:rsidRPr="00A06A5F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building.</w:t>
      </w:r>
      <w:r w:rsidRPr="00A06A5F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Are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we</w:t>
      </w:r>
      <w:r w:rsidRPr="00A06A5F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required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patch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asphalt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after</w:t>
      </w:r>
      <w:r w:rsidRPr="00A06A5F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 xml:space="preserve">sewer/water </w:t>
      </w:r>
      <w:proofErr w:type="gramStart"/>
      <w:r w:rsidRPr="00A06A5F">
        <w:rPr>
          <w:rFonts w:ascii="Times New Roman" w:hAnsi="Times New Roman"/>
          <w:w w:val="105"/>
          <w:sz w:val="24"/>
          <w:szCs w:val="24"/>
        </w:rPr>
        <w:t>connection</w:t>
      </w:r>
      <w:proofErr w:type="gramEnd"/>
      <w:r w:rsidRPr="00A06A5F">
        <w:rPr>
          <w:rFonts w:ascii="Times New Roman" w:hAnsi="Times New Roman"/>
          <w:w w:val="105"/>
          <w:sz w:val="24"/>
          <w:szCs w:val="24"/>
        </w:rPr>
        <w:t xml:space="preserve"> or will the owner accept ﬁlling back in with dirt/</w:t>
      </w:r>
      <w:proofErr w:type="spellStart"/>
      <w:r w:rsidRPr="00A06A5F">
        <w:rPr>
          <w:rFonts w:ascii="Times New Roman" w:hAnsi="Times New Roman"/>
          <w:w w:val="105"/>
          <w:sz w:val="24"/>
          <w:szCs w:val="24"/>
        </w:rPr>
        <w:t>limerock</w:t>
      </w:r>
      <w:proofErr w:type="spellEnd"/>
      <w:r w:rsidRPr="00A06A5F">
        <w:rPr>
          <w:rFonts w:ascii="Times New Roman" w:hAnsi="Times New Roman"/>
          <w:w w:val="105"/>
          <w:sz w:val="24"/>
          <w:szCs w:val="24"/>
        </w:rPr>
        <w:t xml:space="preserve"> for the time being?</w:t>
      </w:r>
    </w:p>
    <w:p w14:paraId="35E9FBC3" w14:textId="43AFD772" w:rsidR="00380C61" w:rsidRPr="00A06A5F" w:rsidRDefault="00380C61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14C811F8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290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z w:val="24"/>
          <w:szCs w:val="24"/>
        </w:rPr>
        <w:t>Is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the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proposed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bike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rack</w:t>
      </w:r>
      <w:r w:rsidRPr="00A06A5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and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concrete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pad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to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be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included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in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our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bid?</w:t>
      </w:r>
      <w:r w:rsidRPr="00A06A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If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so,</w:t>
      </w:r>
      <w:r w:rsidRPr="00A06A5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can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you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 xml:space="preserve">please </w:t>
      </w:r>
      <w:r w:rsidRPr="00A06A5F">
        <w:rPr>
          <w:rFonts w:ascii="Times New Roman" w:hAnsi="Times New Roman"/>
          <w:w w:val="110"/>
          <w:sz w:val="24"/>
          <w:szCs w:val="24"/>
        </w:rPr>
        <w:t>provide</w:t>
      </w:r>
      <w:r w:rsidRPr="00A06A5F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10"/>
          <w:sz w:val="24"/>
          <w:szCs w:val="24"/>
        </w:rPr>
        <w:t>details/specs?</w:t>
      </w:r>
    </w:p>
    <w:p w14:paraId="7E3AEE94" w14:textId="3B06A6D1" w:rsidR="00380C61" w:rsidRPr="00A06A5F" w:rsidRDefault="00380C61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A: </w:t>
      </w:r>
    </w:p>
    <w:p w14:paraId="5F04FBFE" w14:textId="77777777" w:rsidR="00A06A5F" w:rsidRDefault="00A06A5F" w:rsidP="00A06A5F">
      <w:pPr>
        <w:pStyle w:val="ListParagraph"/>
        <w:widowControl w:val="0"/>
        <w:tabs>
          <w:tab w:val="left" w:pos="817"/>
          <w:tab w:val="left" w:pos="819"/>
        </w:tabs>
        <w:autoSpaceDE w:val="0"/>
        <w:autoSpaceDN w:val="0"/>
        <w:spacing w:before="2" w:line="237" w:lineRule="auto"/>
        <w:ind w:left="819" w:right="222"/>
      </w:pPr>
    </w:p>
    <w:p w14:paraId="6B4B9A5F" w14:textId="7C6D204E" w:rsidR="00EA1F05" w:rsidRDefault="00EA1F05" w:rsidP="00A06A5F">
      <w:pPr>
        <w:pBdr>
          <w:bottom w:val="single" w:sz="6" w:space="1" w:color="auto"/>
        </w:pBdr>
        <w:spacing w:after="120"/>
        <w:ind w:left="270" w:hanging="27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C98AD4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A06A5F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235599">
      <w:rPr>
        <w:b/>
        <w:bCs/>
      </w:rPr>
      <w:t>924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425C0"/>
    <w:multiLevelType w:val="hybridMultilevel"/>
    <w:tmpl w:val="D2BE75E2"/>
    <w:lvl w:ilvl="0" w:tplc="FD0C7060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5"/>
        <w:sz w:val="24"/>
        <w:szCs w:val="24"/>
        <w:lang w:val="en-US" w:eastAsia="en-US" w:bidi="ar-SA"/>
      </w:rPr>
    </w:lvl>
    <w:lvl w:ilvl="1" w:tplc="05E2143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B2ED93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FD7C433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DA5CA31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8918F3B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CD7C87C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768EB4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FB082E0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55994"/>
    <w:multiLevelType w:val="hybridMultilevel"/>
    <w:tmpl w:val="8D3847C0"/>
    <w:lvl w:ilvl="0" w:tplc="FAD0A11A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5"/>
        <w:sz w:val="22"/>
        <w:szCs w:val="22"/>
        <w:lang w:val="en-US" w:eastAsia="en-US" w:bidi="ar-SA"/>
      </w:rPr>
    </w:lvl>
    <w:lvl w:ilvl="1" w:tplc="0FEC45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40E1B8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30E1C5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41CB7A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D86045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0645E0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8D8FF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D385D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6"/>
  </w:num>
  <w:num w:numId="3" w16cid:durableId="1569223518">
    <w:abstractNumId w:val="4"/>
  </w:num>
  <w:num w:numId="4" w16cid:durableId="584000639">
    <w:abstractNumId w:val="7"/>
  </w:num>
  <w:num w:numId="5" w16cid:durableId="489567764">
    <w:abstractNumId w:val="2"/>
  </w:num>
  <w:num w:numId="6" w16cid:durableId="445973893">
    <w:abstractNumId w:val="3"/>
  </w:num>
  <w:num w:numId="7" w16cid:durableId="2032952555">
    <w:abstractNumId w:val="1"/>
  </w:num>
  <w:num w:numId="8" w16cid:durableId="3034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URooMvNA8f1/98QG+M+xaAkV9BjPYsk7rSpOPL92OfEwnskLbgD0xTfz+JgiZfcmOiKP5vIsBnznUpQmwCMA==" w:salt="9B6G1Xnr/ujXKeFDRdjA7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03F96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5599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0C61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37DE7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6A5F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71AFC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B6AA0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1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A12D32-210A-4A3A-A821-199D19CF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5</cp:revision>
  <cp:lastPrinted>2020-04-01T15:04:00Z</cp:lastPrinted>
  <dcterms:created xsi:type="dcterms:W3CDTF">2024-04-17T14:06:00Z</dcterms:created>
  <dcterms:modified xsi:type="dcterms:W3CDTF">2024-04-17T14:24:00Z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