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C74F9C2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>
        <w:rPr>
          <w:bCs/>
          <w:szCs w:val="24"/>
        </w:rPr>
        <w:t>Name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0C2CDC">
        <w:rPr>
          <w:szCs w:val="24"/>
        </w:rPr>
        <w:t>04/15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00FA108D" w:rsidR="00EA1F05" w:rsidRDefault="00EA1F05" w:rsidP="000C2CDC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0C2CDC">
        <w:rPr>
          <w:snapToGrid/>
          <w:color w:val="000000"/>
          <w:szCs w:val="24"/>
        </w:rPr>
        <w:t>Would like to request clarification to task 3.12.3 on page 6 of 6 of Exhibit A Scope of Work. Does the County anticipate that this scope of work under this task to include the vendor updating the LMS?</w:t>
      </w:r>
    </w:p>
    <w:p w14:paraId="502707AC" w14:textId="7E95E835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0C2CDC">
        <w:rPr>
          <w:b/>
          <w:bCs/>
          <w:snapToGrid/>
          <w:color w:val="000000"/>
          <w:szCs w:val="24"/>
        </w:rPr>
        <w:t xml:space="preserve">The vendor will not be expected to update the LMS as part of this scope of work. </w:t>
      </w:r>
    </w:p>
    <w:p w14:paraId="6B9F4DDC" w14:textId="48B9CE4D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Q2.</w:t>
      </w:r>
      <w:r w:rsidR="000C2CDC">
        <w:rPr>
          <w:snapToGrid/>
          <w:color w:val="000000"/>
          <w:szCs w:val="24"/>
        </w:rPr>
        <w:t xml:space="preserve">  What is the date of the County’s most recent adopted LMS?</w:t>
      </w:r>
    </w:p>
    <w:p w14:paraId="02E6CF71" w14:textId="66C67330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proofErr w:type="gramStart"/>
      <w:r>
        <w:rPr>
          <w:b/>
          <w:bCs/>
        </w:rPr>
        <w:t>R.2</w:t>
      </w:r>
      <w:r w:rsidR="000C2CDC">
        <w:rPr>
          <w:b/>
          <w:bCs/>
        </w:rPr>
        <w:t xml:space="preserve">  The</w:t>
      </w:r>
      <w:proofErr w:type="gramEnd"/>
      <w:r w:rsidR="000C2CDC">
        <w:rPr>
          <w:b/>
          <w:bCs/>
        </w:rPr>
        <w:t xml:space="preserve"> most recent LMS for Lake County was adopted in March of 2021. </w:t>
      </w:r>
    </w:p>
    <w:p w14:paraId="6D231AAD" w14:textId="5A3F89FE" w:rsidR="000C2CDC" w:rsidRPr="000C2CDC" w:rsidRDefault="000C2CDC" w:rsidP="00EA1F05">
      <w:pPr>
        <w:spacing w:after="160"/>
        <w:ind w:left="540" w:hanging="540"/>
        <w:jc w:val="both"/>
      </w:pPr>
      <w:r w:rsidRPr="000C2CDC">
        <w:t>Q3.  Does Lake County participate in the CRS program and is the County looking for credit under Activity 510?</w:t>
      </w:r>
    </w:p>
    <w:p w14:paraId="08E5FF98" w14:textId="55AD33B0" w:rsidR="000C2CDC" w:rsidRDefault="000C2CD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R3.  Yes, the County does and yes, the County will. </w:t>
      </w:r>
    </w:p>
    <w:p w14:paraId="7CE5F40E" w14:textId="1F1129A2" w:rsidR="000C2CDC" w:rsidRPr="000C2CDC" w:rsidRDefault="000C2CDC" w:rsidP="00EA1F05">
      <w:pPr>
        <w:spacing w:after="160"/>
        <w:ind w:left="540" w:hanging="540"/>
        <w:jc w:val="both"/>
      </w:pPr>
      <w:r w:rsidRPr="000C2CDC">
        <w:t xml:space="preserve">Q4.  Would the County consider an extension to the solicitation deadline? </w:t>
      </w:r>
    </w:p>
    <w:p w14:paraId="1C56C033" w14:textId="46A193A8" w:rsidR="000C2CDC" w:rsidRPr="00EA1F05" w:rsidRDefault="000C2CD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R4.  No extension will be granted as this project needs to get started. </w:t>
      </w:r>
    </w:p>
    <w:p w14:paraId="2C6D366D" w14:textId="5F87196F" w:rsidR="00EA1F05" w:rsidRPr="000C2CDC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lastRenderedPageBreak/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8D11FA5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0C2CDC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0C2CDC">
      <w:rPr>
        <w:b/>
        <w:bCs/>
      </w:rPr>
      <w:t>517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B5yXuhR9Da9FDAgsOjBa+g8+FLZjYHsp4zqlzEor1ds0YNFnS4pdQnA5RhsGjvTw/0k4NpNc8TXD2lRwegyQ==" w:salt="obQ2euh524HeTCto8YTme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C2CDC"/>
    <w:rsid w:val="000D04A1"/>
    <w:rsid w:val="000F43B5"/>
    <w:rsid w:val="001005C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3</cp:revision>
  <cp:lastPrinted>2020-04-01T15:04:00Z</cp:lastPrinted>
  <dcterms:created xsi:type="dcterms:W3CDTF">2024-04-15T16:07:00Z</dcterms:created>
  <dcterms:modified xsi:type="dcterms:W3CDTF">2024-04-15T16:07:00Z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