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451A93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D07B3E">
        <w:rPr>
          <w:bCs/>
          <w:szCs w:val="24"/>
        </w:rPr>
        <w:t>Security Services for County Facilities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D07B3E">
        <w:rPr>
          <w:szCs w:val="24"/>
        </w:rPr>
        <w:t>2/29/2024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1275380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D07B3E">
        <w:rPr>
          <w:snapToGrid/>
          <w:color w:val="000000"/>
          <w:szCs w:val="24"/>
        </w:rPr>
        <w:t xml:space="preserve">Are vehicles required? How many, what type, </w:t>
      </w:r>
      <w:r w:rsidR="00AE052E">
        <w:rPr>
          <w:snapToGrid/>
          <w:color w:val="000000"/>
          <w:szCs w:val="24"/>
        </w:rPr>
        <w:t>etc.</w:t>
      </w:r>
      <w:r w:rsidR="00D07B3E">
        <w:rPr>
          <w:snapToGrid/>
          <w:color w:val="000000"/>
          <w:szCs w:val="24"/>
        </w:rPr>
        <w:t xml:space="preserve">? </w:t>
      </w:r>
    </w:p>
    <w:p w14:paraId="502707AC" w14:textId="34DAC7F6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</w:t>
      </w:r>
      <w:r w:rsidR="00D07B3E">
        <w:rPr>
          <w:snapToGrid/>
          <w:color w:val="000000"/>
          <w:szCs w:val="24"/>
        </w:rPr>
        <w:t>No vehicle requirements at this time</w:t>
      </w:r>
      <w:r w:rsidR="00813AEB">
        <w:rPr>
          <w:snapToGrid/>
          <w:color w:val="000000"/>
          <w:szCs w:val="24"/>
        </w:rPr>
        <w:t xml:space="preserve"> and has been removed. See Attachment 2 Pricing Sheet REVISED 02.29.24 on the website. </w:t>
      </w:r>
    </w:p>
    <w:p w14:paraId="6B9F4DDC" w14:textId="3C575842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D07B3E">
        <w:rPr>
          <w:snapToGrid/>
          <w:color w:val="000000"/>
          <w:szCs w:val="24"/>
        </w:rPr>
        <w:t xml:space="preserve"> Who is the incumbent? What are the current rates?</w:t>
      </w:r>
    </w:p>
    <w:p w14:paraId="02E6CF71" w14:textId="7DE1B510" w:rsidR="00EA1F05" w:rsidRDefault="00D07B3E" w:rsidP="00EA1F05">
      <w:pPr>
        <w:spacing w:after="160"/>
        <w:ind w:left="540" w:hanging="540"/>
        <w:jc w:val="both"/>
      </w:pPr>
      <w:r>
        <w:rPr>
          <w:b/>
          <w:bCs/>
        </w:rPr>
        <w:t xml:space="preserve">R.2 The incumbent is ICU, Inc. d/b/a ICU Protective Services. The current rates can be viewed on our website by using the link provided: </w:t>
      </w:r>
      <w:hyperlink r:id="rId11" w:history="1">
        <w:r w:rsidRPr="00D07B3E">
          <w:rPr>
            <w:color w:val="0000FF"/>
            <w:u w:val="single"/>
          </w:rPr>
          <w:t>19-0204.pdf (lakecountyfl.gov)</w:t>
        </w:r>
      </w:hyperlink>
      <w:r>
        <w:t xml:space="preserve"> </w:t>
      </w:r>
    </w:p>
    <w:p w14:paraId="3C767811" w14:textId="4F142F38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Q3. </w:t>
      </w:r>
      <w:r w:rsidRPr="006013E6">
        <w:t>What is the annual budget?</w:t>
      </w:r>
      <w:r>
        <w:rPr>
          <w:b/>
          <w:bCs/>
        </w:rPr>
        <w:t xml:space="preserve"> </w:t>
      </w:r>
    </w:p>
    <w:p w14:paraId="27ED055A" w14:textId="633979F3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R3. Anticipated spend is </w:t>
      </w:r>
      <w:r w:rsidR="00AE052E">
        <w:rPr>
          <w:b/>
          <w:bCs/>
        </w:rPr>
        <w:t>$196,000.00.</w:t>
      </w:r>
    </w:p>
    <w:p w14:paraId="5718CE09" w14:textId="669506B6" w:rsidR="00D07B3E" w:rsidRPr="006013E6" w:rsidRDefault="00D07B3E" w:rsidP="00EA1F05">
      <w:pPr>
        <w:spacing w:after="160"/>
        <w:ind w:left="540" w:hanging="540"/>
        <w:jc w:val="both"/>
      </w:pPr>
      <w:r>
        <w:rPr>
          <w:b/>
          <w:bCs/>
        </w:rPr>
        <w:t xml:space="preserve">Q4. </w:t>
      </w:r>
      <w:r w:rsidRPr="006013E6">
        <w:t>Is a 9mm alternative weapon acceptable?</w:t>
      </w:r>
    </w:p>
    <w:p w14:paraId="7AAE6091" w14:textId="20A44D6B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R4. Yes. </w:t>
      </w:r>
    </w:p>
    <w:p w14:paraId="1BE6CB01" w14:textId="32826A47" w:rsidR="00D07B3E" w:rsidRPr="006013E6" w:rsidRDefault="00D07B3E" w:rsidP="00EA1F05">
      <w:pPr>
        <w:spacing w:after="160"/>
        <w:ind w:left="540" w:hanging="540"/>
        <w:jc w:val="both"/>
      </w:pPr>
      <w:r>
        <w:rPr>
          <w:b/>
          <w:bCs/>
        </w:rPr>
        <w:t xml:space="preserve">Q5. </w:t>
      </w:r>
      <w:r w:rsidRPr="006013E6">
        <w:t>Should the holiday rates be blended into the hourly rate?</w:t>
      </w:r>
    </w:p>
    <w:p w14:paraId="72566463" w14:textId="26FDD89E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R5. Buildings are closed on holidays. No security guard on duty. </w:t>
      </w:r>
    </w:p>
    <w:p w14:paraId="0E54598E" w14:textId="218AD726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Q6. </w:t>
      </w:r>
      <w:r w:rsidRPr="006013E6">
        <w:t>The documentation shows that the main guard will work 40 hours per week. That is different to the total hours. Please confirm the hours needed.</w:t>
      </w:r>
      <w:r>
        <w:rPr>
          <w:b/>
          <w:bCs/>
        </w:rPr>
        <w:t xml:space="preserve"> </w:t>
      </w:r>
    </w:p>
    <w:p w14:paraId="6FFA285B" w14:textId="51C91161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R6. The County will not be paying any overtime unless there is a public meeting lasting longer than expected. The current security contractor has five (5) security officers assigned rotating in the County facilities. </w:t>
      </w:r>
      <w:r w:rsidR="00AE052E">
        <w:rPr>
          <w:b/>
          <w:bCs/>
        </w:rPr>
        <w:t xml:space="preserve">40 hours per week will be the number of hours worked. </w:t>
      </w:r>
      <w:r w:rsidR="006013E6">
        <w:rPr>
          <w:b/>
          <w:bCs/>
        </w:rPr>
        <w:t xml:space="preserve">See Attachment 2 – Pricing REVISED 02.29.24 on the website. </w:t>
      </w:r>
    </w:p>
    <w:p w14:paraId="6E3FA9E2" w14:textId="571D0A98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Q7. </w:t>
      </w:r>
      <w:r w:rsidRPr="006013E6">
        <w:t>Will the officers need to be armed or unarmed?</w:t>
      </w:r>
      <w:r>
        <w:rPr>
          <w:b/>
          <w:bCs/>
        </w:rPr>
        <w:t xml:space="preserve"> </w:t>
      </w:r>
    </w:p>
    <w:p w14:paraId="0EE1536F" w14:textId="01F0B5B9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R7. Armed. </w:t>
      </w:r>
    </w:p>
    <w:p w14:paraId="3D809B24" w14:textId="04A6E896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Q8. </w:t>
      </w:r>
      <w:r w:rsidRPr="006013E6">
        <w:t>What are the current pay rates for your guards?</w:t>
      </w:r>
      <w:r>
        <w:rPr>
          <w:b/>
          <w:bCs/>
        </w:rPr>
        <w:t xml:space="preserve"> </w:t>
      </w:r>
    </w:p>
    <w:p w14:paraId="25831938" w14:textId="21E63E1A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R8. See response to Q2. </w:t>
      </w:r>
    </w:p>
    <w:p w14:paraId="45ACAEDE" w14:textId="7BF11516" w:rsidR="00D07B3E" w:rsidRPr="006013E6" w:rsidRDefault="00D07B3E" w:rsidP="00EA1F05">
      <w:pPr>
        <w:spacing w:after="160"/>
        <w:ind w:left="540" w:hanging="540"/>
        <w:jc w:val="both"/>
      </w:pPr>
      <w:r>
        <w:rPr>
          <w:b/>
          <w:bCs/>
        </w:rPr>
        <w:lastRenderedPageBreak/>
        <w:t xml:space="preserve">Q9. </w:t>
      </w:r>
      <w:r w:rsidRPr="006013E6">
        <w:t>What are the current bill rates?</w:t>
      </w:r>
    </w:p>
    <w:p w14:paraId="53F57EC5" w14:textId="0921FEF6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R9. See response to Q2.</w:t>
      </w:r>
    </w:p>
    <w:p w14:paraId="3D931A2F" w14:textId="47E78178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Q10. </w:t>
      </w:r>
      <w:r w:rsidRPr="006013E6">
        <w:t>Who is the current security provider?</w:t>
      </w:r>
      <w:r>
        <w:rPr>
          <w:b/>
          <w:bCs/>
        </w:rPr>
        <w:t xml:space="preserve"> </w:t>
      </w:r>
    </w:p>
    <w:p w14:paraId="292F0422" w14:textId="3005B942" w:rsidR="00D07B3E" w:rsidRDefault="00D07B3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R10. See response to Q2.</w:t>
      </w:r>
    </w:p>
    <w:p w14:paraId="1E51C7CE" w14:textId="423D89F8" w:rsidR="00D07B3E" w:rsidRPr="006013E6" w:rsidRDefault="00D07B3E" w:rsidP="00EA1F05">
      <w:pPr>
        <w:spacing w:after="160"/>
        <w:ind w:left="540" w:hanging="540"/>
        <w:jc w:val="both"/>
      </w:pPr>
      <w:r>
        <w:rPr>
          <w:b/>
          <w:bCs/>
        </w:rPr>
        <w:t xml:space="preserve">Q11. </w:t>
      </w:r>
      <w:r w:rsidRPr="006013E6">
        <w:t>Can you clarify the exact amount of hours guards will be working at each location? Per Section 6 in Exhibit A, the exact calculation would be 52.5 hours x 2 guards</w:t>
      </w:r>
      <w:r w:rsidR="00AE052E" w:rsidRPr="006013E6">
        <w:t xml:space="preserve">, so 105 hours at the Administration Building, 45 hours per week at the Planning and Zoning Office and 52. 5 hours per week at the CS Housing &amp; Veterans Services Office. But Attachment 2 – Pricing, it is only 100 hours for the Administration Building and only 50 hours for the CS Housing &amp; Veterans Services Office. </w:t>
      </w:r>
    </w:p>
    <w:p w14:paraId="0E5200DF" w14:textId="356BFAB2" w:rsidR="00AE052E" w:rsidRDefault="00AE052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R11. See response to Q6. Also, 30 minutes lunch breaks were deducted per day. </w:t>
      </w:r>
      <w:r w:rsidR="006013E6">
        <w:rPr>
          <w:b/>
          <w:bCs/>
        </w:rPr>
        <w:t xml:space="preserve">See Attachment 2 – Pricing Sheet REVISED 02.29.24 on the website. </w:t>
      </w:r>
    </w:p>
    <w:p w14:paraId="229D4E49" w14:textId="1873B60A" w:rsidR="00AE052E" w:rsidRDefault="00AE052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Q12. </w:t>
      </w:r>
      <w:r w:rsidRPr="006013E6">
        <w:t>Does the Contractor need to provide a vehicle?</w:t>
      </w:r>
      <w:r>
        <w:rPr>
          <w:b/>
          <w:bCs/>
        </w:rPr>
        <w:t xml:space="preserve"> </w:t>
      </w:r>
    </w:p>
    <w:p w14:paraId="746DF791" w14:textId="023E14FB" w:rsidR="00AE052E" w:rsidRDefault="00AE052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R12. See response to Q1. </w:t>
      </w:r>
    </w:p>
    <w:p w14:paraId="673E89CE" w14:textId="1D296E1A" w:rsidR="00AE052E" w:rsidRPr="006013E6" w:rsidRDefault="00AE052E" w:rsidP="00EA1F05">
      <w:pPr>
        <w:spacing w:after="160"/>
        <w:ind w:left="540" w:hanging="540"/>
        <w:jc w:val="both"/>
      </w:pPr>
      <w:r>
        <w:rPr>
          <w:b/>
          <w:bCs/>
        </w:rPr>
        <w:t xml:space="preserve">Q13. </w:t>
      </w:r>
      <w:r w:rsidRPr="006013E6">
        <w:t>Will bidders be scored on minority participation?</w:t>
      </w:r>
    </w:p>
    <w:p w14:paraId="76567074" w14:textId="147E3B41" w:rsidR="00AE052E" w:rsidRDefault="00AE052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R13. This solicitation is an ITB – Invitation to Bid, scoring is not applicable. </w:t>
      </w:r>
    </w:p>
    <w:p w14:paraId="151B9EDB" w14:textId="72050431" w:rsidR="00AE052E" w:rsidRDefault="00AE052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Q14. </w:t>
      </w:r>
      <w:r w:rsidRPr="006013E6">
        <w:t>What additional forms are to be submitted in addition to the attachments posted to the portal? Do any of the forms listed in Section A of the Exhibit C – General Terms and Conditions need to be submitted with the bid?</w:t>
      </w:r>
      <w:r>
        <w:rPr>
          <w:b/>
          <w:bCs/>
        </w:rPr>
        <w:t xml:space="preserve"> </w:t>
      </w:r>
    </w:p>
    <w:p w14:paraId="28770160" w14:textId="790F84D3" w:rsidR="00AE052E" w:rsidRPr="00EA1F05" w:rsidRDefault="00AE052E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R14. Under Section 8.0 of Invitation to Bid 24-509 – Delivery and Submittal Requirements, are the items that must be included with a bid response</w:t>
      </w:r>
      <w:r w:rsidR="006013E6">
        <w:rPr>
          <w:b/>
          <w:bCs/>
        </w:rPr>
        <w:t xml:space="preserve"> and only those items. </w:t>
      </w:r>
    </w:p>
    <w:p w14:paraId="2C6D366D" w14:textId="661F3304" w:rsidR="00EA1F05" w:rsidRPr="006013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6013E6">
        <w:rPr>
          <w:b/>
          <w:bCs/>
          <w:highlight w:val="yellow"/>
          <w:u w:val="single"/>
        </w:rPr>
        <w:t>ADDITIONAL INFORMATION</w:t>
      </w:r>
    </w:p>
    <w:p w14:paraId="665811C9" w14:textId="3E471907" w:rsidR="006013E6" w:rsidRDefault="006013E6" w:rsidP="00EA1F05">
      <w:pPr>
        <w:pBdr>
          <w:bottom w:val="single" w:sz="6" w:space="1" w:color="auto"/>
        </w:pBdr>
        <w:spacing w:after="120"/>
      </w:pPr>
      <w:r>
        <w:t>The following documents have been revised and are posted on the website for review and use:</w:t>
      </w:r>
    </w:p>
    <w:p w14:paraId="07774897" w14:textId="21EE39A5" w:rsidR="006013E6" w:rsidRDefault="006013E6" w:rsidP="00EA1F05">
      <w:pPr>
        <w:pBdr>
          <w:bottom w:val="single" w:sz="6" w:space="1" w:color="auto"/>
        </w:pBdr>
        <w:spacing w:after="120"/>
      </w:pPr>
      <w:r>
        <w:t>Exhibit A – Scope of Services REVISED 02.29.24</w:t>
      </w:r>
    </w:p>
    <w:p w14:paraId="7387FBA2" w14:textId="19B557CE" w:rsidR="006013E6" w:rsidRPr="006013E6" w:rsidRDefault="006013E6" w:rsidP="00EA1F05">
      <w:pPr>
        <w:pBdr>
          <w:bottom w:val="single" w:sz="6" w:space="1" w:color="auto"/>
        </w:pBdr>
        <w:spacing w:after="120"/>
        <w:rPr>
          <w:u w:val="single"/>
        </w:rPr>
      </w:pPr>
      <w:r>
        <w:t xml:space="preserve">Attachment 2 – Pricing Sheet REVISED 02.29.24 </w:t>
      </w:r>
      <w:r w:rsidRPr="006013E6">
        <w:rPr>
          <w:b/>
          <w:bCs/>
          <w:highlight w:val="yellow"/>
        </w:rPr>
        <w:t>**this is the pricing sheet that must be submitted**</w:t>
      </w:r>
    </w:p>
    <w:p w14:paraId="5B6B348B" w14:textId="1B6E7F4A" w:rsidR="006013E6" w:rsidRPr="006013E6" w:rsidRDefault="006013E6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6013E6">
        <w:rPr>
          <w:b/>
          <w:bCs/>
          <w:u w:val="single"/>
        </w:rPr>
        <w:t>For informational purposes, below is the current schedule for each location:</w:t>
      </w:r>
    </w:p>
    <w:p w14:paraId="5DAF2102" w14:textId="1B865CF7" w:rsidR="006013E6" w:rsidRPr="006013E6" w:rsidRDefault="006013E6" w:rsidP="00EA1F05">
      <w:pPr>
        <w:pBdr>
          <w:bottom w:val="single" w:sz="6" w:space="1" w:color="auto"/>
        </w:pBdr>
        <w:spacing w:after="120"/>
        <w:rPr>
          <w:u w:val="single"/>
        </w:rPr>
      </w:pPr>
      <w:r w:rsidRPr="006013E6">
        <w:rPr>
          <w:u w:val="single"/>
        </w:rPr>
        <w:t>Lake County Administration Building:</w:t>
      </w:r>
    </w:p>
    <w:p w14:paraId="519B6433" w14:textId="297C798A" w:rsidR="006013E6" w:rsidRDefault="006013E6" w:rsidP="00EA1F05">
      <w:pPr>
        <w:pBdr>
          <w:bottom w:val="single" w:sz="6" w:space="1" w:color="auto"/>
        </w:pBdr>
        <w:spacing w:after="120"/>
      </w:pPr>
      <w:r>
        <w:t>Monday’s &amp; Friday’s: 6:30 a.m. till 5 p.m. and a 9:00 a.m. till 5:30 p.m.</w:t>
      </w:r>
    </w:p>
    <w:p w14:paraId="028ECD29" w14:textId="224F1BA4" w:rsidR="006013E6" w:rsidRDefault="006013E6" w:rsidP="00EA1F05">
      <w:pPr>
        <w:pBdr>
          <w:bottom w:val="single" w:sz="6" w:space="1" w:color="auto"/>
        </w:pBdr>
        <w:spacing w:after="120"/>
      </w:pPr>
      <w:r>
        <w:t>Tuesday through Thursday: 6:30 a.m. till 5:00 p.m. and a 7:30 a.m. till 6:00 p.m.</w:t>
      </w:r>
    </w:p>
    <w:p w14:paraId="2002951C" w14:textId="4F6B7E42" w:rsidR="006013E6" w:rsidRPr="006013E6" w:rsidRDefault="006013E6" w:rsidP="00EA1F05">
      <w:pPr>
        <w:pBdr>
          <w:bottom w:val="single" w:sz="6" w:space="1" w:color="auto"/>
        </w:pBdr>
        <w:spacing w:after="120"/>
        <w:rPr>
          <w:u w:val="single"/>
        </w:rPr>
      </w:pPr>
      <w:r w:rsidRPr="006013E6">
        <w:rPr>
          <w:u w:val="single"/>
        </w:rPr>
        <w:t>Planning and Zoning:</w:t>
      </w:r>
    </w:p>
    <w:p w14:paraId="2AAEAC25" w14:textId="4FE43932" w:rsidR="006013E6" w:rsidRDefault="006013E6" w:rsidP="00EA1F05">
      <w:pPr>
        <w:pBdr>
          <w:bottom w:val="single" w:sz="6" w:space="1" w:color="auto"/>
        </w:pBdr>
        <w:spacing w:after="120"/>
      </w:pPr>
      <w:r>
        <w:t xml:space="preserve">Monday through Friday 8:00 a.m. till 4:30 p.m. </w:t>
      </w:r>
    </w:p>
    <w:p w14:paraId="17CD29AE" w14:textId="77777777" w:rsidR="006013E6" w:rsidRDefault="006013E6" w:rsidP="00EA1F05">
      <w:pPr>
        <w:pBdr>
          <w:bottom w:val="single" w:sz="6" w:space="1" w:color="auto"/>
        </w:pBdr>
        <w:spacing w:after="120"/>
      </w:pPr>
      <w:r w:rsidRPr="006013E6">
        <w:rPr>
          <w:u w:val="single"/>
        </w:rPr>
        <w:t>CS Housing &amp; Veterans Services Office:</w:t>
      </w:r>
      <w:r>
        <w:t xml:space="preserve"> </w:t>
      </w:r>
    </w:p>
    <w:p w14:paraId="72FD3157" w14:textId="02340FCF" w:rsidR="006013E6" w:rsidRPr="00EA1F05" w:rsidRDefault="006013E6" w:rsidP="00EA1F05">
      <w:pPr>
        <w:pBdr>
          <w:bottom w:val="single" w:sz="6" w:space="1" w:color="auto"/>
        </w:pBdr>
        <w:spacing w:after="120"/>
      </w:pPr>
      <w:r>
        <w:t>Monday through Friday 7:00 a.m. till 5:30 p.m.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lastRenderedPageBreak/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0BB9A0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07B3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07B3E">
      <w:rPr>
        <w:b/>
        <w:bCs/>
      </w:rPr>
      <w:t>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IVCbJ3/CaKnKCcGdMVOqPj5YSGbJ+Al2I3pU/n9wfYj+LW/cCaCzzA7XHQc4avA+CbpAl0P/iUZ2s9BVB6SA==" w:salt="xaqWdEjI4Pu13kR08Amy9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2A99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13E6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13AEB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052E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07B3E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ProcurementDocuments/term-supply_contracts/19-0204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3</cp:revision>
  <cp:lastPrinted>2020-04-01T15:04:00Z</cp:lastPrinted>
  <dcterms:created xsi:type="dcterms:W3CDTF">2024-02-29T18:25:00Z</dcterms:created>
  <dcterms:modified xsi:type="dcterms:W3CDTF">2024-02-29T18:26:00Z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