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39DE4592"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 xml:space="preserve">Workers' compensation insurance based on proper reporting of classification codes and payroll amounts in accordance with Chapter 440, Florida Statutes, and any other applicable law requiring workers' compensation (Federal, maritime, etc.). </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3545B3"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4A228DF"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2A7D32">
      <w:rPr>
        <w:rFonts w:ascii="Times New Roman" w:hAnsi="Times New Roman" w:cs="Times New Roman"/>
        <w:b/>
        <w:bCs/>
        <w:sz w:val="24"/>
        <w:szCs w:val="24"/>
      </w:rPr>
      <w:t>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21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hKV2JVtSPwX6TQps96qjTca8B3rekxW0V/5KD+A1kv5sIVmrVp4tuMdeLhUTaJWEJ4ZEc4m3d5oiIpgRdI0Zw==" w:salt="4NNc26RggYxohURkJZdS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972A2"/>
    <w:rsid w:val="000E5823"/>
    <w:rsid w:val="002A7D32"/>
    <w:rsid w:val="003545B3"/>
    <w:rsid w:val="00363D69"/>
    <w:rsid w:val="00692D35"/>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709</Words>
  <Characters>4044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Bechtel, Gretchen</cp:lastModifiedBy>
  <cp:revision>8</cp:revision>
  <dcterms:created xsi:type="dcterms:W3CDTF">2021-11-29T20:51:00Z</dcterms:created>
  <dcterms:modified xsi:type="dcterms:W3CDTF">2023-10-10T14:36:00Z</dcterms:modified>
</cp:coreProperties>
</file>