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9044F5" w:rsidRDefault="009044F5" w:rsidP="006D7819">
      <w:pPr>
        <w:pStyle w:val="ListParagraph"/>
        <w:numPr>
          <w:ilvl w:val="0"/>
          <w:numId w:val="2"/>
        </w:numPr>
        <w:spacing w:after="120"/>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0ACDF6C6" w14:textId="696A5FB7" w:rsidR="009044F5" w:rsidRDefault="008A0D4E" w:rsidP="006D7819">
      <w:pPr>
        <w:pStyle w:val="ListParagraph"/>
        <w:spacing w:after="120"/>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Provide Chamber Electronics (or equal) pedestrian</w:t>
      </w:r>
      <w:r w:rsidR="00C153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bicycle</w:t>
      </w:r>
      <w:r w:rsidR="00C15352">
        <w:rPr>
          <w:rFonts w:ascii="Times New Roman" w:hAnsi="Times New Roman" w:cs="Times New Roman"/>
          <w:color w:val="000000"/>
          <w:sz w:val="24"/>
          <w:szCs w:val="24"/>
        </w:rPr>
        <w:t>, and</w:t>
      </w:r>
      <w:r w:rsidR="000174C4">
        <w:rPr>
          <w:rFonts w:ascii="Times New Roman" w:hAnsi="Times New Roman" w:cs="Times New Roman"/>
          <w:color w:val="000000"/>
          <w:sz w:val="24"/>
          <w:szCs w:val="24"/>
        </w:rPr>
        <w:t xml:space="preserve"> vehicle traffic</w:t>
      </w:r>
      <w:r>
        <w:rPr>
          <w:rFonts w:ascii="Times New Roman" w:hAnsi="Times New Roman" w:cs="Times New Roman"/>
          <w:color w:val="000000"/>
          <w:sz w:val="24"/>
          <w:szCs w:val="24"/>
        </w:rPr>
        <w:t xml:space="preserve"> counters and associated data logging software, in conjunction with the County’s needs.</w:t>
      </w:r>
      <w:r w:rsidR="000174C4">
        <w:rPr>
          <w:rFonts w:ascii="Times New Roman" w:hAnsi="Times New Roman" w:cs="Times New Roman"/>
          <w:color w:val="000000"/>
          <w:sz w:val="24"/>
          <w:szCs w:val="24"/>
        </w:rPr>
        <w:t xml:space="preserve">  Each station shall be installed by the Office of Parks and </w:t>
      </w:r>
      <w:r w:rsidR="0041556F">
        <w:rPr>
          <w:rFonts w:ascii="Times New Roman" w:hAnsi="Times New Roman" w:cs="Times New Roman"/>
          <w:color w:val="000000"/>
          <w:sz w:val="24"/>
          <w:szCs w:val="24"/>
        </w:rPr>
        <w:t>T</w:t>
      </w:r>
      <w:r w:rsidR="000174C4">
        <w:rPr>
          <w:rFonts w:ascii="Times New Roman" w:hAnsi="Times New Roman" w:cs="Times New Roman"/>
          <w:color w:val="000000"/>
          <w:sz w:val="24"/>
          <w:szCs w:val="24"/>
        </w:rPr>
        <w:t xml:space="preserve">rails.  Traffic counts shall be available for download </w:t>
      </w:r>
      <w:r w:rsidR="00C15352">
        <w:rPr>
          <w:rFonts w:ascii="Times New Roman" w:hAnsi="Times New Roman" w:cs="Times New Roman"/>
          <w:color w:val="000000"/>
          <w:sz w:val="24"/>
          <w:szCs w:val="24"/>
        </w:rPr>
        <w:t>to</w:t>
      </w:r>
      <w:r w:rsidR="000174C4">
        <w:rPr>
          <w:rFonts w:ascii="Times New Roman" w:hAnsi="Times New Roman" w:cs="Times New Roman"/>
          <w:color w:val="000000"/>
          <w:sz w:val="24"/>
          <w:szCs w:val="24"/>
        </w:rPr>
        <w:t xml:space="preserve"> PC</w:t>
      </w:r>
      <w:r w:rsidR="0041556F">
        <w:rPr>
          <w:rFonts w:ascii="Times New Roman" w:hAnsi="Times New Roman" w:cs="Times New Roman"/>
          <w:color w:val="000000"/>
          <w:sz w:val="24"/>
          <w:szCs w:val="24"/>
        </w:rPr>
        <w:t xml:space="preserve"> </w:t>
      </w:r>
      <w:r w:rsidR="00C15352">
        <w:rPr>
          <w:rFonts w:ascii="Times New Roman" w:hAnsi="Times New Roman" w:cs="Times New Roman"/>
          <w:color w:val="000000"/>
          <w:sz w:val="24"/>
          <w:szCs w:val="24"/>
        </w:rPr>
        <w:t>by a</w:t>
      </w:r>
      <w:r w:rsidR="000174C4">
        <w:rPr>
          <w:rFonts w:ascii="Times New Roman" w:hAnsi="Times New Roman" w:cs="Times New Roman"/>
          <w:color w:val="000000"/>
          <w:sz w:val="24"/>
          <w:szCs w:val="24"/>
        </w:rPr>
        <w:t xml:space="preserve"> USB</w:t>
      </w:r>
      <w:r w:rsidR="00C15352">
        <w:rPr>
          <w:rFonts w:ascii="Times New Roman" w:hAnsi="Times New Roman" w:cs="Times New Roman"/>
          <w:color w:val="000000"/>
          <w:sz w:val="24"/>
          <w:szCs w:val="24"/>
        </w:rPr>
        <w:t xml:space="preserve"> lead</w:t>
      </w:r>
      <w:r w:rsidR="0041556F">
        <w:rPr>
          <w:rFonts w:ascii="Times New Roman" w:hAnsi="Times New Roman" w:cs="Times New Roman"/>
          <w:color w:val="000000"/>
          <w:sz w:val="24"/>
          <w:szCs w:val="24"/>
        </w:rPr>
        <w:t>. S</w:t>
      </w:r>
      <w:r w:rsidR="000174C4">
        <w:rPr>
          <w:rFonts w:ascii="Times New Roman" w:hAnsi="Times New Roman" w:cs="Times New Roman"/>
          <w:color w:val="000000"/>
          <w:sz w:val="24"/>
          <w:szCs w:val="24"/>
        </w:rPr>
        <w:t>oftware shall provide basic statistics, data table</w:t>
      </w:r>
      <w:r w:rsidR="0041556F">
        <w:rPr>
          <w:rFonts w:ascii="Times New Roman" w:hAnsi="Times New Roman" w:cs="Times New Roman"/>
          <w:color w:val="000000"/>
          <w:sz w:val="24"/>
          <w:szCs w:val="24"/>
        </w:rPr>
        <w:t>s</w:t>
      </w:r>
      <w:r w:rsidR="000174C4">
        <w:rPr>
          <w:rFonts w:ascii="Times New Roman" w:hAnsi="Times New Roman" w:cs="Times New Roman"/>
          <w:color w:val="000000"/>
          <w:sz w:val="24"/>
          <w:szCs w:val="24"/>
        </w:rPr>
        <w:t>, and graphical view</w:t>
      </w:r>
      <w:r w:rsidR="0041556F">
        <w:rPr>
          <w:rFonts w:ascii="Times New Roman" w:hAnsi="Times New Roman" w:cs="Times New Roman"/>
          <w:color w:val="000000"/>
          <w:sz w:val="24"/>
          <w:szCs w:val="24"/>
        </w:rPr>
        <w:t>s</w:t>
      </w:r>
      <w:r w:rsidR="000174C4">
        <w:rPr>
          <w:rFonts w:ascii="Times New Roman" w:hAnsi="Times New Roman" w:cs="Times New Roman"/>
          <w:color w:val="000000"/>
          <w:sz w:val="24"/>
          <w:szCs w:val="24"/>
        </w:rPr>
        <w:t xml:space="preserve"> of the data.</w:t>
      </w:r>
    </w:p>
    <w:p w14:paraId="346082D1" w14:textId="33C8AA4B" w:rsidR="00790484" w:rsidRDefault="00790484" w:rsidP="00790484">
      <w:pPr>
        <w:spacing w:after="120"/>
        <w:jc w:val="both"/>
        <w:rPr>
          <w:rFonts w:ascii="Times New Roman" w:hAnsi="Times New Roman" w:cs="Times New Roman"/>
          <w:color w:val="000000"/>
          <w:sz w:val="24"/>
          <w:szCs w:val="24"/>
        </w:rPr>
      </w:pPr>
      <w:r w:rsidRPr="00266E57">
        <w:rPr>
          <w:rFonts w:ascii="Times New Roman" w:hAnsi="Times New Roman" w:cs="Times New Roman"/>
          <w:color w:val="000000"/>
          <w:sz w:val="24"/>
          <w:szCs w:val="24"/>
        </w:rPr>
        <w:t xml:space="preserve">This is an indefinite quantity contract with no guarantee </w:t>
      </w:r>
      <w:r>
        <w:rPr>
          <w:rFonts w:ascii="Times New Roman" w:hAnsi="Times New Roman" w:cs="Times New Roman"/>
          <w:color w:val="000000"/>
          <w:sz w:val="24"/>
          <w:szCs w:val="24"/>
        </w:rPr>
        <w:t xml:space="preserve">that </w:t>
      </w:r>
      <w:r w:rsidRPr="00266E57">
        <w:rPr>
          <w:rFonts w:ascii="Times New Roman" w:hAnsi="Times New Roman" w:cs="Times New Roman"/>
          <w:color w:val="000000"/>
          <w:sz w:val="24"/>
          <w:szCs w:val="24"/>
        </w:rPr>
        <w:t xml:space="preserve">services will be required. The County does not guarantee a minimum or maximum dollar amount to be expended on any contract(s) resulting from this </w:t>
      </w:r>
      <w:r w:rsidR="00217F70">
        <w:rPr>
          <w:rFonts w:ascii="Times New Roman" w:hAnsi="Times New Roman" w:cs="Times New Roman"/>
          <w:color w:val="000000"/>
          <w:sz w:val="24"/>
          <w:szCs w:val="24"/>
        </w:rPr>
        <w:t>solicitation</w:t>
      </w:r>
      <w:r w:rsidRPr="00266E57">
        <w:rPr>
          <w:rFonts w:ascii="Times New Roman" w:hAnsi="Times New Roman" w:cs="Times New Roman"/>
          <w:color w:val="000000"/>
          <w:sz w:val="24"/>
          <w:szCs w:val="24"/>
        </w:rPr>
        <w:t>. All work performed shall be in strict compliance with the latest codes, standards, and practices and in accordance with Federal, State, and Local laws.</w:t>
      </w:r>
    </w:p>
    <w:p w14:paraId="05EE790C" w14:textId="6117EEF4" w:rsidR="009044F5" w:rsidRPr="009044F5" w:rsidRDefault="007D6C56" w:rsidP="006D7819">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32579793" w14:textId="40DF4DA6" w:rsidR="008F2BEA" w:rsidRDefault="008F2BEA" w:rsidP="006D7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Provide Chamber Electronics pedestrian, bicycle, </w:t>
      </w:r>
      <w:r w:rsidR="005A663B">
        <w:rPr>
          <w:rFonts w:ascii="Times New Roman" w:hAnsi="Times New Roman" w:cs="Times New Roman"/>
          <w:sz w:val="24"/>
          <w:szCs w:val="24"/>
        </w:rPr>
        <w:t xml:space="preserve">and </w:t>
      </w:r>
      <w:r>
        <w:rPr>
          <w:rFonts w:ascii="Times New Roman" w:hAnsi="Times New Roman" w:cs="Times New Roman"/>
          <w:sz w:val="24"/>
          <w:szCs w:val="24"/>
        </w:rPr>
        <w:t xml:space="preserve">vehicle traffic counters </w:t>
      </w:r>
      <w:r w:rsidR="005A663B">
        <w:rPr>
          <w:rFonts w:ascii="Times New Roman" w:hAnsi="Times New Roman" w:cs="Times New Roman"/>
          <w:sz w:val="24"/>
          <w:szCs w:val="24"/>
        </w:rPr>
        <w:t xml:space="preserve">with the </w:t>
      </w:r>
      <w:r>
        <w:rPr>
          <w:rFonts w:ascii="Times New Roman" w:hAnsi="Times New Roman" w:cs="Times New Roman"/>
          <w:sz w:val="24"/>
          <w:szCs w:val="24"/>
        </w:rPr>
        <w:t>associated data logging, and software</w:t>
      </w:r>
      <w:r w:rsidR="005A663B">
        <w:rPr>
          <w:rFonts w:ascii="Times New Roman" w:hAnsi="Times New Roman" w:cs="Times New Roman"/>
          <w:sz w:val="24"/>
          <w:szCs w:val="24"/>
        </w:rPr>
        <w:t xml:space="preserve"> (</w:t>
      </w:r>
      <w:r>
        <w:rPr>
          <w:rFonts w:ascii="Times New Roman" w:hAnsi="Times New Roman" w:cs="Times New Roman"/>
          <w:sz w:val="24"/>
          <w:szCs w:val="24"/>
        </w:rPr>
        <w:t>or item of equal precision</w:t>
      </w:r>
      <w:r w:rsidR="005A663B">
        <w:rPr>
          <w:rFonts w:ascii="Times New Roman" w:hAnsi="Times New Roman" w:cs="Times New Roman"/>
          <w:sz w:val="24"/>
          <w:szCs w:val="24"/>
        </w:rPr>
        <w:t xml:space="preserve"> and capability)</w:t>
      </w:r>
      <w:r>
        <w:rPr>
          <w:rFonts w:ascii="Times New Roman" w:hAnsi="Times New Roman" w:cs="Times New Roman"/>
          <w:sz w:val="24"/>
          <w:szCs w:val="24"/>
        </w:rPr>
        <w:t>.</w:t>
      </w:r>
    </w:p>
    <w:p w14:paraId="6E36FE00" w14:textId="402758A7" w:rsidR="009044F5" w:rsidRDefault="000174C4" w:rsidP="006D7819">
      <w:pPr>
        <w:pStyle w:val="ListParagraph"/>
        <w:numPr>
          <w:ilvl w:val="1"/>
          <w:numId w:val="2"/>
        </w:numPr>
        <w:spacing w:after="120"/>
        <w:ind w:left="547" w:hanging="547"/>
        <w:contextualSpacing w:val="0"/>
        <w:jc w:val="both"/>
        <w:rPr>
          <w:rFonts w:ascii="Times New Roman" w:hAnsi="Times New Roman" w:cs="Times New Roman"/>
          <w:sz w:val="24"/>
          <w:szCs w:val="24"/>
        </w:rPr>
      </w:pPr>
      <w:r w:rsidRPr="000174C4">
        <w:rPr>
          <w:rFonts w:ascii="Times New Roman" w:hAnsi="Times New Roman" w:cs="Times New Roman"/>
          <w:sz w:val="24"/>
          <w:szCs w:val="24"/>
        </w:rPr>
        <w:t>Submit</w:t>
      </w:r>
      <w:r w:rsidR="008F2BEA">
        <w:rPr>
          <w:rFonts w:ascii="Times New Roman" w:hAnsi="Times New Roman" w:cs="Times New Roman"/>
          <w:sz w:val="24"/>
          <w:szCs w:val="24"/>
        </w:rPr>
        <w:t xml:space="preserve">tal shall clearly identify the product manufacturer, model number and </w:t>
      </w:r>
      <w:r w:rsidRPr="000174C4">
        <w:rPr>
          <w:rFonts w:ascii="Times New Roman" w:hAnsi="Times New Roman" w:cs="Times New Roman"/>
          <w:sz w:val="24"/>
          <w:szCs w:val="24"/>
        </w:rPr>
        <w:t>complete specifications for the proposed unit.</w:t>
      </w:r>
    </w:p>
    <w:p w14:paraId="62BF3BB8" w14:textId="5A57541B" w:rsidR="008F2BEA" w:rsidRPr="000174C4" w:rsidRDefault="008F2BEA" w:rsidP="006D7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Provide product descriptive literature and technical specifications for the proposed items.</w:t>
      </w:r>
    </w:p>
    <w:p w14:paraId="4AC3AAD7" w14:textId="482EB9D5" w:rsidR="007D6C56" w:rsidRPr="009044F5" w:rsidRDefault="001E070E" w:rsidP="006D7819">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629DFBD1" w:rsidR="009044F5" w:rsidRPr="00F4781A" w:rsidRDefault="000174C4" w:rsidP="006D7819">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F4781A">
        <w:rPr>
          <w:rFonts w:ascii="Times New Roman" w:hAnsi="Times New Roman" w:cs="Times New Roman"/>
          <w:color w:val="000000"/>
          <w:sz w:val="24"/>
          <w:szCs w:val="24"/>
        </w:rPr>
        <w:t>Reserves the right to award to one or more vendors.</w:t>
      </w:r>
    </w:p>
    <w:p w14:paraId="61D26E18" w14:textId="4998D693" w:rsidR="000174C4" w:rsidRPr="00F4781A" w:rsidRDefault="000174C4" w:rsidP="006D7819">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F4781A">
        <w:rPr>
          <w:rFonts w:ascii="Times New Roman" w:hAnsi="Times New Roman" w:cs="Times New Roman"/>
          <w:color w:val="000000"/>
          <w:sz w:val="24"/>
          <w:szCs w:val="24"/>
        </w:rPr>
        <w:t>Reserv</w:t>
      </w:r>
      <w:r w:rsidR="00F4781A" w:rsidRPr="00F4781A">
        <w:rPr>
          <w:rFonts w:ascii="Times New Roman" w:hAnsi="Times New Roman" w:cs="Times New Roman"/>
          <w:color w:val="000000"/>
          <w:sz w:val="24"/>
          <w:szCs w:val="24"/>
        </w:rPr>
        <w:t>es</w:t>
      </w:r>
      <w:r w:rsidRPr="00F4781A">
        <w:rPr>
          <w:rFonts w:ascii="Times New Roman" w:hAnsi="Times New Roman" w:cs="Times New Roman"/>
          <w:color w:val="000000"/>
          <w:sz w:val="24"/>
          <w:szCs w:val="24"/>
        </w:rPr>
        <w:t xml:space="preserve"> the right to add or remove services.</w:t>
      </w:r>
    </w:p>
    <w:p w14:paraId="56401F80" w14:textId="6F6FE485" w:rsidR="000174C4" w:rsidRPr="00F4781A" w:rsidRDefault="000174C4" w:rsidP="006D7819">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F4781A">
        <w:rPr>
          <w:rFonts w:ascii="Times New Roman" w:hAnsi="Times New Roman" w:cs="Times New Roman"/>
          <w:color w:val="000000"/>
          <w:sz w:val="24"/>
          <w:szCs w:val="24"/>
        </w:rPr>
        <w:t xml:space="preserve">Reserves the right to determine </w:t>
      </w:r>
      <w:r w:rsidR="00F4781A" w:rsidRPr="00F4781A">
        <w:rPr>
          <w:rFonts w:ascii="Times New Roman" w:hAnsi="Times New Roman" w:cs="Times New Roman"/>
          <w:color w:val="000000"/>
          <w:sz w:val="24"/>
          <w:szCs w:val="24"/>
        </w:rPr>
        <w:t>the color of units.</w:t>
      </w:r>
    </w:p>
    <w:p w14:paraId="07CDC7D4" w14:textId="2CF162E8" w:rsidR="001E070E" w:rsidRPr="009044F5" w:rsidRDefault="001E070E" w:rsidP="006D7819">
      <w:pPr>
        <w:pStyle w:val="ListParagraph"/>
        <w:numPr>
          <w:ilvl w:val="0"/>
          <w:numId w:val="2"/>
        </w:numPr>
        <w:spacing w:after="120"/>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436C3845" w14:textId="08B6F8D7" w:rsidR="009044F5" w:rsidRDefault="000174C4" w:rsidP="006D7819">
      <w:pPr>
        <w:pStyle w:val="ListParagraph"/>
        <w:numPr>
          <w:ilvl w:val="1"/>
          <w:numId w:val="2"/>
        </w:numPr>
        <w:spacing w:after="120"/>
        <w:ind w:left="547" w:hanging="547"/>
        <w:contextualSpacing w:val="0"/>
        <w:jc w:val="both"/>
        <w:rPr>
          <w:rFonts w:ascii="Times New Roman" w:hAnsi="Times New Roman" w:cs="Times New Roman"/>
          <w:sz w:val="24"/>
          <w:szCs w:val="24"/>
        </w:rPr>
      </w:pPr>
      <w:r w:rsidRPr="004F0AE3">
        <w:rPr>
          <w:rFonts w:ascii="Times New Roman" w:hAnsi="Times New Roman" w:cs="Times New Roman"/>
          <w:sz w:val="24"/>
          <w:szCs w:val="24"/>
        </w:rPr>
        <w:t>FOB – Inside Destination</w:t>
      </w:r>
      <w:r w:rsidR="0061085E">
        <w:rPr>
          <w:rFonts w:ascii="Times New Roman" w:hAnsi="Times New Roman" w:cs="Times New Roman"/>
          <w:sz w:val="24"/>
          <w:szCs w:val="24"/>
        </w:rPr>
        <w:t>.</w:t>
      </w:r>
    </w:p>
    <w:p w14:paraId="6E74FBC9" w14:textId="5F835617" w:rsidR="0061085E" w:rsidRPr="004F0AE3" w:rsidRDefault="0061085E" w:rsidP="006D7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Seven</w:t>
      </w:r>
      <w:r w:rsidR="005A663B">
        <w:rPr>
          <w:rFonts w:ascii="Times New Roman" w:hAnsi="Times New Roman" w:cs="Times New Roman"/>
          <w:sz w:val="24"/>
          <w:szCs w:val="24"/>
        </w:rPr>
        <w:t>ty</w:t>
      </w:r>
      <w:r>
        <w:rPr>
          <w:rFonts w:ascii="Times New Roman" w:hAnsi="Times New Roman" w:cs="Times New Roman"/>
          <w:sz w:val="24"/>
          <w:szCs w:val="24"/>
        </w:rPr>
        <w:t>-two (72) hour advanced notice of delivery.</w:t>
      </w:r>
    </w:p>
    <w:p w14:paraId="164AFBD2" w14:textId="77777777" w:rsidR="003718EF" w:rsidRPr="00EE2B99" w:rsidRDefault="003718EF" w:rsidP="00CD07AD">
      <w:pPr>
        <w:pStyle w:val="Heading1"/>
        <w:numPr>
          <w:ilvl w:val="0"/>
          <w:numId w:val="2"/>
        </w:numPr>
        <w:spacing w:before="0" w:after="120" w:line="259" w:lineRule="auto"/>
        <w:ind w:left="0"/>
        <w:rPr>
          <w:rFonts w:ascii="Times New Roman" w:hAnsi="Times New Roman" w:cs="Times New Roman"/>
          <w:b/>
          <w:color w:val="000000" w:themeColor="text1"/>
          <w:sz w:val="24"/>
          <w:szCs w:val="24"/>
        </w:rPr>
      </w:pPr>
      <w:bookmarkStart w:id="0" w:name="_Toc70578430"/>
      <w:r w:rsidRPr="00EE2B99">
        <w:rPr>
          <w:rFonts w:ascii="Times New Roman" w:hAnsi="Times New Roman" w:cs="Times New Roman"/>
          <w:b/>
          <w:color w:val="000000" w:themeColor="text1"/>
          <w:sz w:val="24"/>
          <w:szCs w:val="24"/>
        </w:rPr>
        <w:t>“EQUAL” PRODUCT CAN BE CONSIDERED</w:t>
      </w:r>
      <w:bookmarkEnd w:id="0"/>
    </w:p>
    <w:p w14:paraId="55AB5BAA" w14:textId="1C31A36D" w:rsidR="003718EF" w:rsidRPr="003718EF" w:rsidRDefault="003718EF" w:rsidP="003718EF">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3718EF">
        <w:rPr>
          <w:rFonts w:ascii="Times New Roman" w:hAnsi="Times New Roman" w:cs="Times New Roman"/>
          <w:sz w:val="24"/>
          <w:szCs w:val="24"/>
        </w:rPr>
        <w:t xml:space="preserve">If a product or service requested by this ITB has been identified in the specifications by a brand </w:t>
      </w:r>
      <w:r w:rsidR="00F8649B" w:rsidRPr="003718EF">
        <w:rPr>
          <w:rFonts w:ascii="Times New Roman" w:hAnsi="Times New Roman" w:cs="Times New Roman"/>
          <w:sz w:val="24"/>
          <w:szCs w:val="24"/>
        </w:rPr>
        <w:t>name and</w:t>
      </w:r>
      <w:r w:rsidRPr="003718EF">
        <w:rPr>
          <w:rFonts w:ascii="Times New Roman" w:hAnsi="Times New Roman" w:cs="Times New Roman"/>
          <w:sz w:val="24"/>
          <w:szCs w:val="24"/>
        </w:rPr>
        <w:t xml:space="preserve"> has not been notated as a “No Substitute” item, such identification is intended to be descriptive and not </w:t>
      </w:r>
      <w:proofErr w:type="gramStart"/>
      <w:r w:rsidRPr="003718EF">
        <w:rPr>
          <w:rFonts w:ascii="Times New Roman" w:hAnsi="Times New Roman" w:cs="Times New Roman"/>
          <w:sz w:val="24"/>
          <w:szCs w:val="24"/>
        </w:rPr>
        <w:t>restrictive, and</w:t>
      </w:r>
      <w:proofErr w:type="gramEnd"/>
      <w:r w:rsidRPr="003718EF">
        <w:rPr>
          <w:rFonts w:ascii="Times New Roman" w:hAnsi="Times New Roman" w:cs="Times New Roman"/>
          <w:sz w:val="24"/>
          <w:szCs w:val="24"/>
        </w:rPr>
        <w:t xml:space="preserve"> is to indicate the quality and characteristics of product or service that will be acceptable.  Vendors offering an alternate product will be considered for award if such product is clearly identified in the bid or proposal and is determined by the County to fully meet the salient characteristic requirements listed in the specifications.  An alternate product will not be considered for any item notated “No Substitute”.</w:t>
      </w:r>
    </w:p>
    <w:p w14:paraId="29E86153" w14:textId="77777777" w:rsidR="003718EF" w:rsidRPr="003718EF" w:rsidRDefault="003718EF" w:rsidP="003718EF">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3718EF">
        <w:rPr>
          <w:rFonts w:ascii="Times New Roman" w:hAnsi="Times New Roman" w:cs="Times New Roman"/>
          <w:sz w:val="24"/>
          <w:szCs w:val="24"/>
        </w:rPr>
        <w:t>Unless the vendor clearly indicates in its bid or proposal that it is proposing an alternate product, the bid or proposal shall be considered as offering the same brand name referenced in the specifications.</w:t>
      </w:r>
    </w:p>
    <w:p w14:paraId="52EA7B74" w14:textId="77777777" w:rsidR="003718EF" w:rsidRPr="003718EF" w:rsidRDefault="003718EF" w:rsidP="003718EF">
      <w:pPr>
        <w:widowControl w:val="0"/>
        <w:tabs>
          <w:tab w:val="left" w:pos="0"/>
          <w:tab w:val="left" w:pos="1278"/>
          <w:tab w:val="left" w:pos="2400"/>
          <w:tab w:val="left" w:pos="3000"/>
          <w:tab w:val="left" w:pos="3888"/>
          <w:tab w:val="left" w:pos="6588"/>
          <w:tab w:val="left" w:pos="7200"/>
          <w:tab w:val="left" w:pos="7920"/>
          <w:tab w:val="left" w:pos="8640"/>
          <w:tab w:val="left" w:pos="9360"/>
        </w:tabs>
        <w:autoSpaceDE w:val="0"/>
        <w:autoSpaceDN w:val="0"/>
        <w:adjustRightInd w:val="0"/>
        <w:spacing w:after="120"/>
        <w:jc w:val="both"/>
        <w:rPr>
          <w:rFonts w:ascii="Times New Roman" w:hAnsi="Times New Roman" w:cs="Times New Roman"/>
          <w:sz w:val="24"/>
          <w:szCs w:val="24"/>
        </w:rPr>
      </w:pPr>
      <w:r w:rsidRPr="003718EF">
        <w:rPr>
          <w:rFonts w:ascii="Times New Roman" w:hAnsi="Times New Roman" w:cs="Times New Roman"/>
          <w:sz w:val="24"/>
          <w:szCs w:val="24"/>
        </w:rPr>
        <w:t xml:space="preserve">If the vendor proposes to furnish an alternate product or service, the brand name of the product or service to be furnished shall be clearly identified.  The evaluation of the bid or proposal and the determination as to acceptability of the alternate product or service shall be the responsibility of the County and will be based upon information furnished by the vendor.  The County will </w:t>
      </w:r>
      <w:r w:rsidRPr="003718EF">
        <w:rPr>
          <w:rFonts w:ascii="Times New Roman" w:hAnsi="Times New Roman" w:cs="Times New Roman"/>
          <w:sz w:val="24"/>
          <w:szCs w:val="24"/>
          <w:u w:val="single"/>
        </w:rPr>
        <w:t>not</w:t>
      </w:r>
      <w:r w:rsidRPr="003718EF">
        <w:rPr>
          <w:rFonts w:ascii="Times New Roman" w:hAnsi="Times New Roman" w:cs="Times New Roman"/>
          <w:sz w:val="24"/>
          <w:szCs w:val="24"/>
        </w:rPr>
        <w:t xml:space="preserve"> be </w:t>
      </w:r>
      <w:r w:rsidRPr="003718EF">
        <w:rPr>
          <w:rFonts w:ascii="Times New Roman" w:hAnsi="Times New Roman" w:cs="Times New Roman"/>
          <w:sz w:val="24"/>
          <w:szCs w:val="24"/>
        </w:rPr>
        <w:lastRenderedPageBreak/>
        <w:t xml:space="preserve">responsible for locating or securing any information which is not included in the bid or proposal.  To ensure that sufficient information is available, the vendor shall furnish as part of the bid or proposal all descriptive material necessary for the County to determine whether the product offered meets the salient characteristics required by the specifications.  Failure to do so may be considered a material deviation supportive of rejection of the bid. </w:t>
      </w:r>
    </w:p>
    <w:p w14:paraId="35DC1847" w14:textId="328719F4" w:rsidR="00EC6968" w:rsidRPr="007B760D" w:rsidRDefault="00EC6968" w:rsidP="00CD07AD">
      <w:pPr>
        <w:pStyle w:val="Heading1"/>
        <w:numPr>
          <w:ilvl w:val="0"/>
          <w:numId w:val="2"/>
        </w:numPr>
        <w:spacing w:before="0" w:after="120" w:line="259" w:lineRule="auto"/>
        <w:ind w:left="0"/>
        <w:rPr>
          <w:rFonts w:ascii="Times New Roman" w:hAnsi="Times New Roman" w:cs="Times New Roman"/>
          <w:b/>
          <w:color w:val="000000" w:themeColor="text1"/>
          <w:sz w:val="24"/>
          <w:szCs w:val="24"/>
        </w:rPr>
      </w:pPr>
      <w:bookmarkStart w:id="1" w:name="_Toc70578451"/>
      <w:r w:rsidRPr="007B760D">
        <w:rPr>
          <w:rFonts w:ascii="Times New Roman" w:hAnsi="Times New Roman" w:cs="Times New Roman"/>
          <w:b/>
          <w:color w:val="000000" w:themeColor="text1"/>
          <w:sz w:val="24"/>
          <w:szCs w:val="24"/>
        </w:rPr>
        <w:t>REBATES AND SPECIAL PROMOTIONS</w:t>
      </w:r>
      <w:bookmarkEnd w:id="1"/>
    </w:p>
    <w:p w14:paraId="579C3721" w14:textId="77777777" w:rsidR="00EC6968" w:rsidRPr="00EC6968" w:rsidRDefault="00EC6968" w:rsidP="00EC6968">
      <w:pPr>
        <w:widowControl w:val="0"/>
        <w:spacing w:after="120"/>
        <w:jc w:val="both"/>
        <w:rPr>
          <w:rFonts w:ascii="Times New Roman" w:hAnsi="Times New Roman" w:cs="Times New Roman"/>
          <w:snapToGrid w:val="0"/>
          <w:sz w:val="24"/>
          <w:szCs w:val="24"/>
        </w:rPr>
      </w:pPr>
      <w:r w:rsidRPr="00EC6968">
        <w:rPr>
          <w:rFonts w:ascii="Times New Roman" w:hAnsi="Times New Roman" w:cs="Times New Roman"/>
          <w:snapToGrid w:val="0"/>
          <w:sz w:val="24"/>
          <w:szCs w:val="24"/>
        </w:rPr>
        <w:t>All rebates and special promotions offered by a manufacturer during the term of the contract shall be passed on by the contractor(s) to the County.  It shall be the responsibility of the contractor to notify the County of such rebates and/or special promotions during the contract period.</w:t>
      </w:r>
    </w:p>
    <w:p w14:paraId="1EFBD6F0" w14:textId="77777777" w:rsidR="00EC6968" w:rsidRPr="00EC6968" w:rsidRDefault="00EC6968" w:rsidP="00EC6968">
      <w:pPr>
        <w:widowControl w:val="0"/>
        <w:spacing w:after="120"/>
        <w:jc w:val="both"/>
        <w:rPr>
          <w:rFonts w:ascii="Times New Roman" w:hAnsi="Times New Roman" w:cs="Times New Roman"/>
          <w:snapToGrid w:val="0"/>
          <w:sz w:val="24"/>
          <w:szCs w:val="24"/>
        </w:rPr>
      </w:pPr>
      <w:r w:rsidRPr="00EC6968">
        <w:rPr>
          <w:rFonts w:ascii="Times New Roman" w:hAnsi="Times New Roman" w:cs="Times New Roman"/>
          <w:snapToGrid w:val="0"/>
          <w:sz w:val="24"/>
          <w:szCs w:val="24"/>
        </w:rPr>
        <w:t>Special promotions shall be offered by the contractor(s) to the County provided that the new price charged for the item(s) is lower than would otherwise be available through the contract.  It is understood that these special promotions may be of a limited duration.  At the end of such promotion, the standard contract price shall prevail.</w:t>
      </w:r>
    </w:p>
    <w:p w14:paraId="17AAE06F" w14:textId="28499E5E" w:rsidR="001E070E" w:rsidRPr="009044F5" w:rsidRDefault="000174C4" w:rsidP="00CD07AD">
      <w:pPr>
        <w:pStyle w:val="ListParagraph"/>
        <w:numPr>
          <w:ilvl w:val="0"/>
          <w:numId w:val="2"/>
        </w:numPr>
        <w:spacing w:after="120"/>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SPECIFICATION</w:t>
      </w:r>
      <w:r w:rsidR="001E070E" w:rsidRPr="009044F5">
        <w:rPr>
          <w:rFonts w:ascii="Times New Roman" w:hAnsi="Times New Roman" w:cs="Times New Roman"/>
          <w:b/>
          <w:bCs/>
          <w:sz w:val="24"/>
          <w:szCs w:val="24"/>
        </w:rPr>
        <w:t xml:space="preserve"> REQUIREMENTS</w:t>
      </w:r>
    </w:p>
    <w:p w14:paraId="5214EF07" w14:textId="59C0F8CE" w:rsidR="009044F5" w:rsidRDefault="000174C4" w:rsidP="006D7819">
      <w:pPr>
        <w:pStyle w:val="ListParagraph"/>
        <w:numPr>
          <w:ilvl w:val="1"/>
          <w:numId w:val="2"/>
        </w:numPr>
        <w:spacing w:after="120"/>
        <w:ind w:left="547" w:hanging="547"/>
        <w:contextualSpacing w:val="0"/>
        <w:jc w:val="both"/>
        <w:rPr>
          <w:rFonts w:ascii="Times New Roman" w:hAnsi="Times New Roman" w:cs="Times New Roman"/>
          <w:b/>
          <w:bCs/>
          <w:sz w:val="24"/>
          <w:szCs w:val="24"/>
        </w:rPr>
      </w:pPr>
      <w:r>
        <w:rPr>
          <w:rFonts w:ascii="Times New Roman" w:hAnsi="Times New Roman" w:cs="Times New Roman"/>
          <w:b/>
          <w:bCs/>
          <w:sz w:val="24"/>
          <w:szCs w:val="24"/>
        </w:rPr>
        <w:t>Pedestrian and Bicycle Counter</w:t>
      </w:r>
    </w:p>
    <w:p w14:paraId="15193250" w14:textId="77777777" w:rsidR="00F4781A" w:rsidRDefault="000174C4" w:rsidP="006D7819">
      <w:pPr>
        <w:pStyle w:val="ListParagraph"/>
        <w:numPr>
          <w:ilvl w:val="2"/>
          <w:numId w:val="2"/>
        </w:numPr>
        <w:spacing w:after="120"/>
        <w:contextualSpacing w:val="0"/>
        <w:jc w:val="both"/>
        <w:rPr>
          <w:rFonts w:ascii="Times New Roman" w:hAnsi="Times New Roman" w:cs="Times New Roman"/>
          <w:b/>
          <w:bCs/>
          <w:sz w:val="24"/>
          <w:szCs w:val="24"/>
        </w:rPr>
      </w:pPr>
      <w:r>
        <w:rPr>
          <w:rFonts w:ascii="Times New Roman" w:hAnsi="Times New Roman" w:cs="Times New Roman"/>
          <w:sz w:val="24"/>
          <w:szCs w:val="24"/>
        </w:rPr>
        <w:t>Double-sided, battery-operated unit that separately counts people and bicycles.</w:t>
      </w:r>
    </w:p>
    <w:p w14:paraId="150959E9" w14:textId="49385D9A" w:rsidR="00F4781A" w:rsidRDefault="00F4781A" w:rsidP="006D7819">
      <w:pPr>
        <w:pStyle w:val="ListParagraph"/>
        <w:numPr>
          <w:ilvl w:val="2"/>
          <w:numId w:val="2"/>
        </w:numPr>
        <w:spacing w:after="120"/>
        <w:contextualSpacing w:val="0"/>
        <w:jc w:val="both"/>
        <w:rPr>
          <w:rFonts w:ascii="Times New Roman" w:hAnsi="Times New Roman" w:cs="Times New Roman"/>
          <w:b/>
          <w:bCs/>
          <w:sz w:val="24"/>
          <w:szCs w:val="24"/>
        </w:rPr>
      </w:pPr>
      <w:r>
        <w:rPr>
          <w:rFonts w:ascii="Times New Roman" w:hAnsi="Times New Roman" w:cs="Times New Roman"/>
          <w:sz w:val="24"/>
          <w:szCs w:val="24"/>
        </w:rPr>
        <w:t>Internal d</w:t>
      </w:r>
      <w:r w:rsidRPr="00F4781A">
        <w:rPr>
          <w:rFonts w:ascii="Times New Roman" w:hAnsi="Times New Roman" w:cs="Times New Roman"/>
          <w:sz w:val="24"/>
          <w:szCs w:val="24"/>
        </w:rPr>
        <w:t>ata logger counts pedestrians and bicycles separately with date and time</w:t>
      </w:r>
      <w:r>
        <w:rPr>
          <w:rFonts w:ascii="Times New Roman" w:hAnsi="Times New Roman" w:cs="Times New Roman"/>
          <w:sz w:val="24"/>
          <w:szCs w:val="24"/>
        </w:rPr>
        <w:t>.</w:t>
      </w:r>
    </w:p>
    <w:p w14:paraId="2E07DD15" w14:textId="77777777" w:rsidR="00F4781A" w:rsidRDefault="00F4781A" w:rsidP="006D7819">
      <w:pPr>
        <w:pStyle w:val="ListParagraph"/>
        <w:numPr>
          <w:ilvl w:val="2"/>
          <w:numId w:val="2"/>
        </w:numPr>
        <w:spacing w:after="120"/>
        <w:contextualSpacing w:val="0"/>
        <w:jc w:val="both"/>
        <w:rPr>
          <w:rFonts w:ascii="Times New Roman" w:hAnsi="Times New Roman" w:cs="Times New Roman"/>
          <w:b/>
          <w:bCs/>
          <w:sz w:val="24"/>
          <w:szCs w:val="24"/>
        </w:rPr>
      </w:pPr>
      <w:r w:rsidRPr="00F4781A">
        <w:rPr>
          <w:rFonts w:ascii="Times New Roman" w:hAnsi="Times New Roman" w:cs="Times New Roman"/>
          <w:sz w:val="24"/>
          <w:szCs w:val="24"/>
        </w:rPr>
        <w:t xml:space="preserve">Pedestrian counters </w:t>
      </w:r>
      <w:r>
        <w:rPr>
          <w:rFonts w:ascii="Times New Roman" w:hAnsi="Times New Roman" w:cs="Times New Roman"/>
          <w:sz w:val="24"/>
          <w:szCs w:val="24"/>
        </w:rPr>
        <w:t xml:space="preserve">shall </w:t>
      </w:r>
      <w:r w:rsidRPr="00F4781A">
        <w:rPr>
          <w:rFonts w:ascii="Times New Roman" w:hAnsi="Times New Roman" w:cs="Times New Roman"/>
          <w:sz w:val="24"/>
          <w:szCs w:val="24"/>
        </w:rPr>
        <w:t>have a minimum range of</w:t>
      </w:r>
      <w:r>
        <w:rPr>
          <w:rFonts w:ascii="Times New Roman" w:hAnsi="Times New Roman" w:cs="Times New Roman"/>
          <w:sz w:val="24"/>
          <w:szCs w:val="24"/>
        </w:rPr>
        <w:t xml:space="preserve"> twelve (</w:t>
      </w:r>
      <w:r w:rsidRPr="00F4781A">
        <w:rPr>
          <w:rFonts w:ascii="Times New Roman" w:hAnsi="Times New Roman" w:cs="Times New Roman"/>
          <w:sz w:val="24"/>
          <w:szCs w:val="24"/>
        </w:rPr>
        <w:t>12</w:t>
      </w:r>
      <w:r>
        <w:rPr>
          <w:rFonts w:ascii="Times New Roman" w:hAnsi="Times New Roman" w:cs="Times New Roman"/>
          <w:sz w:val="24"/>
          <w:szCs w:val="24"/>
        </w:rPr>
        <w:t>)</w:t>
      </w:r>
      <w:r w:rsidRPr="00F4781A">
        <w:rPr>
          <w:rFonts w:ascii="Times New Roman" w:hAnsi="Times New Roman" w:cs="Times New Roman"/>
          <w:sz w:val="24"/>
          <w:szCs w:val="24"/>
        </w:rPr>
        <w:t xml:space="preserve"> feet</w:t>
      </w:r>
      <w:r>
        <w:rPr>
          <w:rFonts w:ascii="Times New Roman" w:hAnsi="Times New Roman" w:cs="Times New Roman"/>
          <w:sz w:val="24"/>
          <w:szCs w:val="24"/>
        </w:rPr>
        <w:t>.</w:t>
      </w:r>
    </w:p>
    <w:p w14:paraId="48199CA9" w14:textId="77777777" w:rsidR="00F4781A" w:rsidRDefault="00F4781A" w:rsidP="006D7819">
      <w:pPr>
        <w:pStyle w:val="ListParagraph"/>
        <w:numPr>
          <w:ilvl w:val="2"/>
          <w:numId w:val="2"/>
        </w:numPr>
        <w:spacing w:after="120"/>
        <w:ind w:left="1440" w:hanging="720"/>
        <w:contextualSpacing w:val="0"/>
        <w:jc w:val="both"/>
        <w:rPr>
          <w:rFonts w:ascii="Times New Roman" w:hAnsi="Times New Roman" w:cs="Times New Roman"/>
          <w:b/>
          <w:bCs/>
          <w:sz w:val="24"/>
          <w:szCs w:val="24"/>
        </w:rPr>
      </w:pPr>
      <w:r w:rsidRPr="00F4781A">
        <w:rPr>
          <w:rFonts w:ascii="Times New Roman" w:hAnsi="Times New Roman" w:cs="Times New Roman"/>
          <w:sz w:val="24"/>
          <w:szCs w:val="24"/>
        </w:rPr>
        <w:t xml:space="preserve">Pedestrian counters and related hardware </w:t>
      </w:r>
      <w:r>
        <w:rPr>
          <w:rFonts w:ascii="Times New Roman" w:hAnsi="Times New Roman" w:cs="Times New Roman"/>
          <w:sz w:val="24"/>
          <w:szCs w:val="24"/>
        </w:rPr>
        <w:t xml:space="preserve">shall </w:t>
      </w:r>
      <w:r w:rsidRPr="00F4781A">
        <w:rPr>
          <w:rFonts w:ascii="Times New Roman" w:hAnsi="Times New Roman" w:cs="Times New Roman"/>
          <w:sz w:val="24"/>
          <w:szCs w:val="24"/>
        </w:rPr>
        <w:t>be weather-proof, rust-proof, and vandal-proof</w:t>
      </w:r>
      <w:r>
        <w:rPr>
          <w:rFonts w:ascii="Times New Roman" w:hAnsi="Times New Roman" w:cs="Times New Roman"/>
          <w:b/>
          <w:bCs/>
          <w:sz w:val="24"/>
          <w:szCs w:val="24"/>
        </w:rPr>
        <w:t>.</w:t>
      </w:r>
    </w:p>
    <w:p w14:paraId="6512B910" w14:textId="77777777" w:rsidR="00F4781A" w:rsidRDefault="00F4781A" w:rsidP="006D7819">
      <w:pPr>
        <w:pStyle w:val="ListParagraph"/>
        <w:numPr>
          <w:ilvl w:val="2"/>
          <w:numId w:val="2"/>
        </w:numPr>
        <w:spacing w:after="120"/>
        <w:ind w:left="1440" w:hanging="720"/>
        <w:contextualSpacing w:val="0"/>
        <w:jc w:val="both"/>
        <w:rPr>
          <w:rFonts w:ascii="Times New Roman" w:hAnsi="Times New Roman" w:cs="Times New Roman"/>
          <w:b/>
          <w:bCs/>
          <w:sz w:val="24"/>
          <w:szCs w:val="24"/>
        </w:rPr>
      </w:pPr>
      <w:r w:rsidRPr="00F4781A">
        <w:rPr>
          <w:rFonts w:ascii="Times New Roman" w:hAnsi="Times New Roman" w:cs="Times New Roman"/>
          <w:sz w:val="24"/>
          <w:szCs w:val="24"/>
        </w:rPr>
        <w:t>Pedestrian counter (sensor, data logger, control unit with the electronics and batteries) are fully concealed within the protective housing with no exposed wires connecting the elements of the system.</w:t>
      </w:r>
    </w:p>
    <w:p w14:paraId="23BA1975" w14:textId="045B517F" w:rsidR="00F4781A" w:rsidRDefault="00F4781A" w:rsidP="006D7819">
      <w:pPr>
        <w:pStyle w:val="ListParagraph"/>
        <w:numPr>
          <w:ilvl w:val="2"/>
          <w:numId w:val="2"/>
        </w:numPr>
        <w:spacing w:after="120"/>
        <w:ind w:left="1440" w:hanging="720"/>
        <w:contextualSpacing w:val="0"/>
        <w:jc w:val="both"/>
        <w:rPr>
          <w:rFonts w:ascii="Times New Roman" w:hAnsi="Times New Roman" w:cs="Times New Roman"/>
          <w:b/>
          <w:bCs/>
          <w:sz w:val="24"/>
          <w:szCs w:val="24"/>
        </w:rPr>
      </w:pPr>
      <w:r w:rsidRPr="00F4781A">
        <w:rPr>
          <w:rFonts w:ascii="Times New Roman" w:hAnsi="Times New Roman" w:cs="Times New Roman"/>
          <w:sz w:val="24"/>
          <w:szCs w:val="24"/>
        </w:rPr>
        <w:t>Visible components of counters must blend with an urban environment</w:t>
      </w:r>
      <w:r>
        <w:rPr>
          <w:rFonts w:ascii="Times New Roman" w:hAnsi="Times New Roman" w:cs="Times New Roman"/>
          <w:sz w:val="24"/>
          <w:szCs w:val="24"/>
        </w:rPr>
        <w:t xml:space="preserve"> and include mount and galvanized post</w:t>
      </w:r>
      <w:r>
        <w:rPr>
          <w:rFonts w:ascii="Times New Roman" w:hAnsi="Times New Roman" w:cs="Times New Roman"/>
          <w:b/>
          <w:bCs/>
          <w:sz w:val="24"/>
          <w:szCs w:val="24"/>
        </w:rPr>
        <w:t>.</w:t>
      </w:r>
    </w:p>
    <w:p w14:paraId="1EF5E9E4" w14:textId="6C5B3014" w:rsidR="00F4781A" w:rsidRDefault="000174C4" w:rsidP="006D7819">
      <w:pPr>
        <w:pStyle w:val="ListParagraph"/>
        <w:numPr>
          <w:ilvl w:val="2"/>
          <w:numId w:val="2"/>
        </w:numPr>
        <w:spacing w:after="120"/>
        <w:ind w:left="1440" w:hanging="720"/>
        <w:contextualSpacing w:val="0"/>
        <w:jc w:val="both"/>
        <w:rPr>
          <w:rFonts w:ascii="Times New Roman" w:hAnsi="Times New Roman" w:cs="Times New Roman"/>
          <w:b/>
          <w:bCs/>
          <w:sz w:val="24"/>
          <w:szCs w:val="24"/>
        </w:rPr>
      </w:pPr>
      <w:r w:rsidRPr="00F4781A">
        <w:rPr>
          <w:rFonts w:ascii="Times New Roman" w:hAnsi="Times New Roman" w:cs="Times New Roman"/>
          <w:sz w:val="24"/>
          <w:szCs w:val="24"/>
        </w:rPr>
        <w:t>No cabling between the units</w:t>
      </w:r>
      <w:r w:rsidR="004F0AE3">
        <w:rPr>
          <w:rFonts w:ascii="Times New Roman" w:hAnsi="Times New Roman" w:cs="Times New Roman"/>
          <w:sz w:val="24"/>
          <w:szCs w:val="24"/>
        </w:rPr>
        <w:t>, maintenance free,</w:t>
      </w:r>
      <w:r w:rsidR="00F4781A">
        <w:rPr>
          <w:rFonts w:ascii="Times New Roman" w:hAnsi="Times New Roman" w:cs="Times New Roman"/>
          <w:sz w:val="24"/>
          <w:szCs w:val="24"/>
        </w:rPr>
        <w:t xml:space="preserve"> and a battery life of two (2) years.</w:t>
      </w:r>
    </w:p>
    <w:p w14:paraId="4ABB0389" w14:textId="1725C3F8" w:rsidR="009044F5" w:rsidRDefault="004F0AE3" w:rsidP="00CE042A">
      <w:pPr>
        <w:pStyle w:val="ListParagraph"/>
        <w:numPr>
          <w:ilvl w:val="1"/>
          <w:numId w:val="2"/>
        </w:numPr>
        <w:spacing w:after="120"/>
        <w:ind w:left="547" w:hanging="547"/>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Vehicle Counter </w:t>
      </w:r>
    </w:p>
    <w:p w14:paraId="620EEACA" w14:textId="78CB429D" w:rsidR="004F0AE3" w:rsidRDefault="004F0AE3" w:rsidP="006D7819">
      <w:pPr>
        <w:pStyle w:val="ListParagraph"/>
        <w:numPr>
          <w:ilvl w:val="2"/>
          <w:numId w:val="2"/>
        </w:numPr>
        <w:spacing w:after="120"/>
        <w:ind w:left="1440" w:hanging="720"/>
        <w:contextualSpacing w:val="0"/>
        <w:jc w:val="both"/>
        <w:rPr>
          <w:rFonts w:ascii="Times New Roman" w:hAnsi="Times New Roman" w:cs="Times New Roman"/>
          <w:sz w:val="24"/>
          <w:szCs w:val="24"/>
        </w:rPr>
      </w:pPr>
      <w:r w:rsidRPr="004F0AE3">
        <w:rPr>
          <w:rFonts w:ascii="Times New Roman" w:hAnsi="Times New Roman" w:cs="Times New Roman"/>
          <w:sz w:val="24"/>
          <w:szCs w:val="24"/>
        </w:rPr>
        <w:t>Double-sided, battery-operated unit that counts all moving vehicles between the transmitter and receiver units.</w:t>
      </w:r>
    </w:p>
    <w:p w14:paraId="0282E2DD" w14:textId="27A0EB1B" w:rsidR="004F0AE3" w:rsidRDefault="004F0AE3" w:rsidP="006D7819">
      <w:pPr>
        <w:pStyle w:val="ListParagraph"/>
        <w:numPr>
          <w:ilvl w:val="2"/>
          <w:numId w:val="2"/>
        </w:numPr>
        <w:spacing w:after="120"/>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Internal d</w:t>
      </w:r>
      <w:r w:rsidRPr="004F0AE3">
        <w:rPr>
          <w:rFonts w:ascii="Times New Roman" w:hAnsi="Times New Roman" w:cs="Times New Roman"/>
          <w:sz w:val="24"/>
          <w:szCs w:val="24"/>
        </w:rPr>
        <w:t>ata logger count</w:t>
      </w:r>
      <w:r>
        <w:rPr>
          <w:rFonts w:ascii="Times New Roman" w:hAnsi="Times New Roman" w:cs="Times New Roman"/>
          <w:sz w:val="24"/>
          <w:szCs w:val="24"/>
        </w:rPr>
        <w:t xml:space="preserve">s vehicles and does not detect pedestrian or bicycle </w:t>
      </w:r>
      <w:r w:rsidRPr="004F0AE3">
        <w:rPr>
          <w:rFonts w:ascii="Times New Roman" w:hAnsi="Times New Roman" w:cs="Times New Roman"/>
          <w:sz w:val="24"/>
          <w:szCs w:val="24"/>
        </w:rPr>
        <w:t>information with date and time</w:t>
      </w:r>
      <w:r>
        <w:rPr>
          <w:rFonts w:ascii="Times New Roman" w:hAnsi="Times New Roman" w:cs="Times New Roman"/>
          <w:sz w:val="24"/>
          <w:szCs w:val="24"/>
        </w:rPr>
        <w:t>.</w:t>
      </w:r>
    </w:p>
    <w:p w14:paraId="09344D38" w14:textId="58345BCA" w:rsidR="004F0AE3" w:rsidRPr="004F0AE3" w:rsidRDefault="004F0AE3" w:rsidP="006D7819">
      <w:pPr>
        <w:pStyle w:val="ListParagraph"/>
        <w:numPr>
          <w:ilvl w:val="2"/>
          <w:numId w:val="2"/>
        </w:numPr>
        <w:spacing w:after="120"/>
        <w:ind w:left="1440" w:hanging="720"/>
        <w:contextualSpacing w:val="0"/>
        <w:jc w:val="both"/>
        <w:rPr>
          <w:rFonts w:ascii="Times New Roman" w:hAnsi="Times New Roman" w:cs="Times New Roman"/>
          <w:sz w:val="24"/>
          <w:szCs w:val="24"/>
        </w:rPr>
      </w:pPr>
      <w:r w:rsidRPr="004F0AE3">
        <w:rPr>
          <w:rFonts w:ascii="Times New Roman" w:hAnsi="Times New Roman" w:cs="Times New Roman"/>
          <w:sz w:val="24"/>
          <w:szCs w:val="24"/>
        </w:rPr>
        <w:t xml:space="preserve">Vehicle counters are to have a minimum range of </w:t>
      </w:r>
      <w:r>
        <w:rPr>
          <w:rFonts w:ascii="Times New Roman" w:hAnsi="Times New Roman" w:cs="Times New Roman"/>
          <w:sz w:val="24"/>
          <w:szCs w:val="24"/>
        </w:rPr>
        <w:t>thirty-six (</w:t>
      </w:r>
      <w:r w:rsidRPr="004F0AE3">
        <w:rPr>
          <w:rFonts w:ascii="Times New Roman" w:hAnsi="Times New Roman" w:cs="Times New Roman"/>
          <w:sz w:val="24"/>
          <w:szCs w:val="24"/>
        </w:rPr>
        <w:t>36</w:t>
      </w:r>
      <w:r>
        <w:rPr>
          <w:rFonts w:ascii="Times New Roman" w:hAnsi="Times New Roman" w:cs="Times New Roman"/>
          <w:sz w:val="24"/>
          <w:szCs w:val="24"/>
        </w:rPr>
        <w:t>)</w:t>
      </w:r>
      <w:r w:rsidRPr="004F0AE3">
        <w:rPr>
          <w:rFonts w:ascii="Times New Roman" w:hAnsi="Times New Roman" w:cs="Times New Roman"/>
          <w:sz w:val="24"/>
          <w:szCs w:val="24"/>
        </w:rPr>
        <w:t xml:space="preserve"> feet wide</w:t>
      </w:r>
      <w:r>
        <w:rPr>
          <w:rFonts w:ascii="Times New Roman" w:hAnsi="Times New Roman" w:cs="Times New Roman"/>
          <w:sz w:val="24"/>
          <w:szCs w:val="24"/>
        </w:rPr>
        <w:t>.</w:t>
      </w:r>
    </w:p>
    <w:p w14:paraId="5B00EFC0" w14:textId="475B6B9C" w:rsidR="004F0AE3" w:rsidRDefault="00B5675D" w:rsidP="006D7819">
      <w:pPr>
        <w:pStyle w:val="ListParagraph"/>
        <w:numPr>
          <w:ilvl w:val="2"/>
          <w:numId w:val="2"/>
        </w:numPr>
        <w:spacing w:after="120"/>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Vehicle</w:t>
      </w:r>
      <w:r w:rsidR="004F0AE3" w:rsidRPr="004F0AE3">
        <w:rPr>
          <w:rFonts w:ascii="Times New Roman" w:hAnsi="Times New Roman" w:cs="Times New Roman"/>
          <w:sz w:val="24"/>
          <w:szCs w:val="24"/>
        </w:rPr>
        <w:t xml:space="preserve"> counters and related hardware must be weather-proof, rust-proof, and vandal-proof</w:t>
      </w:r>
      <w:r w:rsidR="004F0AE3">
        <w:rPr>
          <w:rFonts w:ascii="Times New Roman" w:hAnsi="Times New Roman" w:cs="Times New Roman"/>
          <w:sz w:val="24"/>
          <w:szCs w:val="24"/>
        </w:rPr>
        <w:t>.</w:t>
      </w:r>
    </w:p>
    <w:p w14:paraId="6EFF02F9" w14:textId="77777777" w:rsidR="004F0AE3" w:rsidRDefault="004F0AE3" w:rsidP="006D7819">
      <w:pPr>
        <w:pStyle w:val="ListParagraph"/>
        <w:numPr>
          <w:ilvl w:val="2"/>
          <w:numId w:val="2"/>
        </w:numPr>
        <w:spacing w:after="120"/>
        <w:ind w:left="1440" w:hanging="720"/>
        <w:contextualSpacing w:val="0"/>
        <w:jc w:val="both"/>
        <w:rPr>
          <w:rFonts w:ascii="Times New Roman" w:hAnsi="Times New Roman" w:cs="Times New Roman"/>
          <w:sz w:val="24"/>
          <w:szCs w:val="24"/>
        </w:rPr>
      </w:pPr>
      <w:r w:rsidRPr="004F0AE3">
        <w:rPr>
          <w:rFonts w:ascii="Times New Roman" w:hAnsi="Times New Roman" w:cs="Times New Roman"/>
          <w:sz w:val="24"/>
          <w:szCs w:val="24"/>
        </w:rPr>
        <w:t>No cabling between the units</w:t>
      </w:r>
      <w:r>
        <w:rPr>
          <w:rFonts w:ascii="Times New Roman" w:hAnsi="Times New Roman" w:cs="Times New Roman"/>
          <w:sz w:val="24"/>
          <w:szCs w:val="24"/>
        </w:rPr>
        <w:t xml:space="preserve"> or visible sensors, </w:t>
      </w:r>
      <w:r w:rsidRPr="004F0AE3">
        <w:rPr>
          <w:rFonts w:ascii="Times New Roman" w:hAnsi="Times New Roman" w:cs="Times New Roman"/>
          <w:sz w:val="24"/>
          <w:szCs w:val="24"/>
        </w:rPr>
        <w:t>maintenance free, and a battery life of five (5) years.</w:t>
      </w:r>
    </w:p>
    <w:p w14:paraId="2FA69B3B" w14:textId="7634B2B6" w:rsidR="004F0AE3" w:rsidRPr="004F0AE3" w:rsidRDefault="004F0AE3" w:rsidP="006D7819">
      <w:pPr>
        <w:pStyle w:val="ListParagraph"/>
        <w:numPr>
          <w:ilvl w:val="2"/>
          <w:numId w:val="2"/>
        </w:numPr>
        <w:spacing w:after="120"/>
        <w:ind w:left="1440" w:hanging="720"/>
        <w:contextualSpacing w:val="0"/>
        <w:jc w:val="both"/>
        <w:rPr>
          <w:rFonts w:ascii="Times New Roman" w:hAnsi="Times New Roman" w:cs="Times New Roman"/>
          <w:sz w:val="24"/>
          <w:szCs w:val="24"/>
        </w:rPr>
      </w:pPr>
      <w:r w:rsidRPr="004F0AE3">
        <w:rPr>
          <w:rFonts w:ascii="Times New Roman" w:hAnsi="Times New Roman" w:cs="Times New Roman"/>
          <w:sz w:val="24"/>
          <w:szCs w:val="24"/>
        </w:rPr>
        <w:lastRenderedPageBreak/>
        <w:t>Includes mount and galvanized steel post</w:t>
      </w:r>
      <w:r w:rsidR="00790484">
        <w:rPr>
          <w:rFonts w:ascii="Times New Roman" w:hAnsi="Times New Roman" w:cs="Times New Roman"/>
          <w:sz w:val="24"/>
          <w:szCs w:val="24"/>
        </w:rPr>
        <w:t>.</w:t>
      </w:r>
      <w:r w:rsidRPr="004F0AE3">
        <w:rPr>
          <w:rFonts w:ascii="Times New Roman" w:hAnsi="Times New Roman" w:cs="Times New Roman"/>
          <w:sz w:val="24"/>
          <w:szCs w:val="24"/>
        </w:rPr>
        <w:t xml:space="preserve"> </w:t>
      </w:r>
    </w:p>
    <w:p w14:paraId="68B21E0C" w14:textId="3C905D1C" w:rsidR="004F0AE3" w:rsidRDefault="004F0AE3" w:rsidP="006D7819">
      <w:pPr>
        <w:pStyle w:val="ListParagraph"/>
        <w:numPr>
          <w:ilvl w:val="1"/>
          <w:numId w:val="2"/>
        </w:numPr>
        <w:spacing w:after="120"/>
        <w:ind w:left="547" w:hanging="547"/>
        <w:contextualSpacing w:val="0"/>
        <w:jc w:val="both"/>
        <w:rPr>
          <w:rFonts w:ascii="Times New Roman" w:hAnsi="Times New Roman" w:cs="Times New Roman"/>
          <w:b/>
          <w:sz w:val="24"/>
          <w:szCs w:val="24"/>
        </w:rPr>
      </w:pPr>
      <w:r w:rsidRPr="004F0AE3">
        <w:rPr>
          <w:rFonts w:ascii="Times New Roman" w:hAnsi="Times New Roman" w:cs="Times New Roman"/>
          <w:b/>
          <w:sz w:val="24"/>
          <w:szCs w:val="24"/>
        </w:rPr>
        <w:t>Data logger Requirements</w:t>
      </w:r>
    </w:p>
    <w:p w14:paraId="2E772971" w14:textId="2DEF4504" w:rsidR="004F0AE3" w:rsidRPr="004F0AE3"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4F0AE3">
        <w:rPr>
          <w:rFonts w:ascii="Times New Roman" w:hAnsi="Times New Roman" w:cs="Times New Roman"/>
          <w:sz w:val="24"/>
          <w:szCs w:val="24"/>
        </w:rPr>
        <w:t>Data logger records date, time</w:t>
      </w:r>
      <w:r w:rsidR="00B5675D">
        <w:rPr>
          <w:rFonts w:ascii="Times New Roman" w:hAnsi="Times New Roman" w:cs="Times New Roman"/>
          <w:sz w:val="24"/>
          <w:szCs w:val="24"/>
        </w:rPr>
        <w:t>,</w:t>
      </w:r>
      <w:r w:rsidRPr="004F0AE3">
        <w:rPr>
          <w:rFonts w:ascii="Times New Roman" w:hAnsi="Times New Roman" w:cs="Times New Roman"/>
          <w:sz w:val="24"/>
          <w:szCs w:val="24"/>
        </w:rPr>
        <w:t xml:space="preserve"> and counts for download to PC by a USB </w:t>
      </w:r>
      <w:r w:rsidR="00790484" w:rsidRPr="004F0AE3">
        <w:rPr>
          <w:rFonts w:ascii="Times New Roman" w:hAnsi="Times New Roman" w:cs="Times New Roman"/>
          <w:sz w:val="24"/>
          <w:szCs w:val="24"/>
        </w:rPr>
        <w:t>lead.</w:t>
      </w:r>
    </w:p>
    <w:p w14:paraId="4FAE9A06" w14:textId="3E2241C8" w:rsidR="004F0AE3" w:rsidRPr="004F0AE3"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4F0AE3">
        <w:rPr>
          <w:rFonts w:ascii="Times New Roman" w:hAnsi="Times New Roman" w:cs="Times New Roman"/>
          <w:sz w:val="24"/>
          <w:szCs w:val="24"/>
        </w:rPr>
        <w:t>Large storage capacity</w:t>
      </w:r>
      <w:r w:rsidR="00B5675D">
        <w:rPr>
          <w:rFonts w:ascii="Times New Roman" w:hAnsi="Times New Roman" w:cs="Times New Roman"/>
          <w:sz w:val="24"/>
          <w:szCs w:val="24"/>
        </w:rPr>
        <w:t>;</w:t>
      </w:r>
      <w:r w:rsidR="007571E0">
        <w:rPr>
          <w:rFonts w:ascii="Times New Roman" w:hAnsi="Times New Roman" w:cs="Times New Roman"/>
          <w:sz w:val="24"/>
          <w:szCs w:val="24"/>
        </w:rPr>
        <w:t xml:space="preserve"> capable of storing </w:t>
      </w:r>
      <w:r w:rsidRPr="004F0AE3">
        <w:rPr>
          <w:rFonts w:ascii="Times New Roman" w:hAnsi="Times New Roman" w:cs="Times New Roman"/>
          <w:sz w:val="24"/>
          <w:szCs w:val="24"/>
        </w:rPr>
        <w:t>count information</w:t>
      </w:r>
      <w:r w:rsidR="007571E0">
        <w:rPr>
          <w:rFonts w:ascii="Times New Roman" w:hAnsi="Times New Roman" w:cs="Times New Roman"/>
          <w:sz w:val="24"/>
          <w:szCs w:val="24"/>
        </w:rPr>
        <w:t xml:space="preserve"> for</w:t>
      </w:r>
      <w:r w:rsidRPr="004F0AE3">
        <w:rPr>
          <w:rFonts w:ascii="Times New Roman" w:hAnsi="Times New Roman" w:cs="Times New Roman"/>
          <w:sz w:val="24"/>
          <w:szCs w:val="24"/>
        </w:rPr>
        <w:t xml:space="preserve"> up to two (2) years.</w:t>
      </w:r>
    </w:p>
    <w:p w14:paraId="5E60A0A7" w14:textId="77E28BCB" w:rsidR="004F0AE3" w:rsidRPr="004F0AE3"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4F0AE3">
        <w:rPr>
          <w:rFonts w:ascii="Times New Roman" w:hAnsi="Times New Roman" w:cs="Times New Roman"/>
          <w:sz w:val="24"/>
          <w:szCs w:val="24"/>
        </w:rPr>
        <w:t xml:space="preserve">Lifetime license can be loaded onto multiple </w:t>
      </w:r>
      <w:r w:rsidR="00790484" w:rsidRPr="004F0AE3">
        <w:rPr>
          <w:rFonts w:ascii="Times New Roman" w:hAnsi="Times New Roman" w:cs="Times New Roman"/>
          <w:sz w:val="24"/>
          <w:szCs w:val="24"/>
        </w:rPr>
        <w:t>PCs</w:t>
      </w:r>
      <w:r w:rsidRPr="004F0AE3">
        <w:rPr>
          <w:rFonts w:ascii="Times New Roman" w:hAnsi="Times New Roman" w:cs="Times New Roman"/>
          <w:sz w:val="24"/>
          <w:szCs w:val="24"/>
        </w:rPr>
        <w:t xml:space="preserve"> within organization.</w:t>
      </w:r>
    </w:p>
    <w:p w14:paraId="4F461111" w14:textId="0950CFC5" w:rsidR="004F0AE3" w:rsidRDefault="004F0AE3" w:rsidP="006D7819">
      <w:pPr>
        <w:pStyle w:val="ListParagraph"/>
        <w:numPr>
          <w:ilvl w:val="1"/>
          <w:numId w:val="2"/>
        </w:numPr>
        <w:spacing w:after="120"/>
        <w:ind w:left="547" w:hanging="547"/>
        <w:contextualSpacing w:val="0"/>
        <w:jc w:val="both"/>
        <w:rPr>
          <w:rFonts w:ascii="Times New Roman" w:hAnsi="Times New Roman" w:cs="Times New Roman"/>
          <w:b/>
          <w:sz w:val="24"/>
          <w:szCs w:val="24"/>
        </w:rPr>
      </w:pPr>
      <w:r w:rsidRPr="004F0AE3">
        <w:rPr>
          <w:rFonts w:ascii="Times New Roman" w:hAnsi="Times New Roman" w:cs="Times New Roman"/>
          <w:b/>
          <w:sz w:val="24"/>
          <w:szCs w:val="24"/>
        </w:rPr>
        <w:t>Software Requirements</w:t>
      </w:r>
    </w:p>
    <w:p w14:paraId="0E3E50C7" w14:textId="580DCC8E" w:rsidR="004F0AE3" w:rsidRPr="004F0AE3"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4F0AE3">
        <w:rPr>
          <w:rFonts w:ascii="Times New Roman" w:hAnsi="Times New Roman" w:cs="Times New Roman"/>
          <w:sz w:val="24"/>
          <w:szCs w:val="24"/>
        </w:rPr>
        <w:t>Windows-based software</w:t>
      </w:r>
      <w:r w:rsidR="0061085E">
        <w:rPr>
          <w:rFonts w:ascii="Times New Roman" w:hAnsi="Times New Roman" w:cs="Times New Roman"/>
          <w:sz w:val="24"/>
          <w:szCs w:val="24"/>
        </w:rPr>
        <w:t>.</w:t>
      </w:r>
    </w:p>
    <w:p w14:paraId="2ECADEBC" w14:textId="246D3795" w:rsidR="004F0AE3" w:rsidRPr="004F0AE3"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Pr>
          <w:rFonts w:ascii="Times New Roman" w:hAnsi="Times New Roman" w:cs="Times New Roman"/>
          <w:sz w:val="24"/>
          <w:szCs w:val="24"/>
        </w:rPr>
        <w:t>E</w:t>
      </w:r>
      <w:r w:rsidRPr="004F0AE3">
        <w:rPr>
          <w:rFonts w:ascii="Times New Roman" w:hAnsi="Times New Roman" w:cs="Times New Roman"/>
          <w:sz w:val="24"/>
          <w:szCs w:val="24"/>
        </w:rPr>
        <w:t>asily exported as .csv or Excel files</w:t>
      </w:r>
      <w:r w:rsidR="0061085E">
        <w:rPr>
          <w:rFonts w:ascii="Times New Roman" w:hAnsi="Times New Roman" w:cs="Times New Roman"/>
          <w:sz w:val="24"/>
          <w:szCs w:val="24"/>
        </w:rPr>
        <w:t>.</w:t>
      </w:r>
    </w:p>
    <w:p w14:paraId="7A318024" w14:textId="76B98531" w:rsidR="0061085E" w:rsidRPr="0061085E"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4F0AE3">
        <w:rPr>
          <w:rFonts w:ascii="Times New Roman" w:hAnsi="Times New Roman" w:cs="Times New Roman"/>
          <w:sz w:val="24"/>
          <w:szCs w:val="24"/>
        </w:rPr>
        <w:t>Provides basic statistics, data table</w:t>
      </w:r>
      <w:r w:rsidR="007571E0">
        <w:rPr>
          <w:rFonts w:ascii="Times New Roman" w:hAnsi="Times New Roman" w:cs="Times New Roman"/>
          <w:sz w:val="24"/>
          <w:szCs w:val="24"/>
        </w:rPr>
        <w:t>s,</w:t>
      </w:r>
      <w:r w:rsidRPr="004F0AE3">
        <w:rPr>
          <w:rFonts w:ascii="Times New Roman" w:hAnsi="Times New Roman" w:cs="Times New Roman"/>
          <w:sz w:val="24"/>
          <w:szCs w:val="24"/>
        </w:rPr>
        <w:t xml:space="preserve"> and graphical view</w:t>
      </w:r>
      <w:r w:rsidR="007571E0">
        <w:rPr>
          <w:rFonts w:ascii="Times New Roman" w:hAnsi="Times New Roman" w:cs="Times New Roman"/>
          <w:sz w:val="24"/>
          <w:szCs w:val="24"/>
        </w:rPr>
        <w:t>s</w:t>
      </w:r>
      <w:r w:rsidRPr="004F0AE3">
        <w:rPr>
          <w:rFonts w:ascii="Times New Roman" w:hAnsi="Times New Roman" w:cs="Times New Roman"/>
          <w:sz w:val="24"/>
          <w:szCs w:val="24"/>
        </w:rPr>
        <w:t xml:space="preserve"> of the dat</w:t>
      </w:r>
      <w:r w:rsidR="0061085E">
        <w:rPr>
          <w:rFonts w:ascii="Times New Roman" w:hAnsi="Times New Roman" w:cs="Times New Roman"/>
          <w:sz w:val="24"/>
          <w:szCs w:val="24"/>
        </w:rPr>
        <w:t>a.</w:t>
      </w:r>
    </w:p>
    <w:p w14:paraId="723143A0" w14:textId="77777777" w:rsidR="0061085E" w:rsidRPr="0061085E"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61085E">
        <w:rPr>
          <w:rFonts w:ascii="Times New Roman" w:hAnsi="Times New Roman" w:cs="Times New Roman"/>
          <w:sz w:val="24"/>
          <w:szCs w:val="24"/>
        </w:rPr>
        <w:t>User defines time periods (minutes and hours) to monitor.</w:t>
      </w:r>
    </w:p>
    <w:p w14:paraId="181EFF4D" w14:textId="7834F041" w:rsidR="0061085E" w:rsidRPr="0061085E"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61085E">
        <w:rPr>
          <w:rFonts w:ascii="Times New Roman" w:hAnsi="Times New Roman" w:cs="Times New Roman"/>
          <w:sz w:val="24"/>
          <w:szCs w:val="24"/>
        </w:rPr>
        <w:t>Counters can be easily named for easy monitoring of multiple locations</w:t>
      </w:r>
      <w:r w:rsidR="0061085E">
        <w:rPr>
          <w:rFonts w:ascii="Times New Roman" w:hAnsi="Times New Roman" w:cs="Times New Roman"/>
          <w:sz w:val="24"/>
          <w:szCs w:val="24"/>
        </w:rPr>
        <w:t>.</w:t>
      </w:r>
    </w:p>
    <w:p w14:paraId="297D745C" w14:textId="77777777" w:rsidR="0061085E" w:rsidRPr="0061085E"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61085E">
        <w:rPr>
          <w:rFonts w:ascii="Times New Roman" w:hAnsi="Times New Roman" w:cs="Times New Roman"/>
          <w:sz w:val="24"/>
          <w:szCs w:val="24"/>
        </w:rPr>
        <w:t>Can be loaded on multiple PC’s</w:t>
      </w:r>
      <w:r w:rsidR="0061085E">
        <w:rPr>
          <w:rFonts w:ascii="Times New Roman" w:hAnsi="Times New Roman" w:cs="Times New Roman"/>
          <w:sz w:val="24"/>
          <w:szCs w:val="24"/>
        </w:rPr>
        <w:t>.</w:t>
      </w:r>
    </w:p>
    <w:p w14:paraId="555CFDD4" w14:textId="77777777" w:rsidR="0061085E" w:rsidRPr="00217F70" w:rsidRDefault="004F0AE3" w:rsidP="006D7819">
      <w:pPr>
        <w:pStyle w:val="ListParagraph"/>
        <w:numPr>
          <w:ilvl w:val="2"/>
          <w:numId w:val="2"/>
        </w:numPr>
        <w:spacing w:after="120"/>
        <w:contextualSpacing w:val="0"/>
        <w:jc w:val="both"/>
        <w:rPr>
          <w:rFonts w:ascii="Times New Roman" w:hAnsi="Times New Roman" w:cs="Times New Roman"/>
          <w:b/>
          <w:sz w:val="24"/>
          <w:szCs w:val="24"/>
        </w:rPr>
      </w:pPr>
      <w:r w:rsidRPr="0061085E">
        <w:rPr>
          <w:rFonts w:ascii="Times New Roman" w:hAnsi="Times New Roman" w:cs="Times New Roman"/>
          <w:sz w:val="24"/>
          <w:szCs w:val="24"/>
        </w:rPr>
        <w:t>Free software updates</w:t>
      </w:r>
    </w:p>
    <w:p w14:paraId="762939DF" w14:textId="7AECC5EE" w:rsidR="007A72CE" w:rsidRPr="007A72CE" w:rsidRDefault="007A72CE" w:rsidP="007A72CE">
      <w:pPr>
        <w:pStyle w:val="ListParagraph"/>
        <w:keepNext/>
        <w:keepLines/>
        <w:numPr>
          <w:ilvl w:val="0"/>
          <w:numId w:val="2"/>
        </w:numPr>
        <w:spacing w:after="120" w:line="240" w:lineRule="auto"/>
        <w:ind w:left="0"/>
        <w:outlineLvl w:val="0"/>
        <w:rPr>
          <w:rFonts w:ascii="Times New Roman" w:eastAsiaTheme="majorEastAsia" w:hAnsi="Times New Roman" w:cs="Times New Roman"/>
          <w:b/>
          <w:color w:val="000000" w:themeColor="text1"/>
          <w:sz w:val="24"/>
          <w:szCs w:val="24"/>
        </w:rPr>
      </w:pPr>
      <w:bookmarkStart w:id="2" w:name="_Toc70578463"/>
      <w:r w:rsidRPr="007A72CE">
        <w:rPr>
          <w:rFonts w:ascii="Times New Roman" w:eastAsiaTheme="majorEastAsia" w:hAnsi="Times New Roman" w:cs="Times New Roman"/>
          <w:b/>
          <w:color w:val="000000" w:themeColor="text1"/>
          <w:sz w:val="24"/>
          <w:szCs w:val="24"/>
        </w:rPr>
        <w:t>STOCK LEVELS SHALL BE MAINTAINED BY CONTRACTOR</w:t>
      </w:r>
      <w:bookmarkEnd w:id="2"/>
    </w:p>
    <w:p w14:paraId="269E14FA" w14:textId="77777777" w:rsidR="007A72CE" w:rsidRPr="007A72CE" w:rsidRDefault="007A72CE" w:rsidP="007A72CE">
      <w:pPr>
        <w:widowControl w:val="0"/>
        <w:spacing w:after="120"/>
        <w:jc w:val="both"/>
        <w:rPr>
          <w:rFonts w:ascii="Times New Roman" w:eastAsia="Times New Roman" w:hAnsi="Times New Roman" w:cs="Times New Roman"/>
          <w:snapToGrid w:val="0"/>
          <w:sz w:val="24"/>
          <w:szCs w:val="24"/>
        </w:rPr>
      </w:pPr>
      <w:r w:rsidRPr="007A72CE">
        <w:rPr>
          <w:rFonts w:ascii="Times New Roman" w:eastAsia="Times New Roman" w:hAnsi="Times New Roman" w:cs="Times New Roman"/>
          <w:snapToGrid w:val="0"/>
          <w:sz w:val="24"/>
          <w:szCs w:val="24"/>
        </w:rPr>
        <w:t xml:space="preserve">The contractor(s) shall ensure that adequate stock levels are maintained at its place of business </w:t>
      </w:r>
      <w:proofErr w:type="gramStart"/>
      <w:r w:rsidRPr="007A72CE">
        <w:rPr>
          <w:rFonts w:ascii="Times New Roman" w:eastAsia="Times New Roman" w:hAnsi="Times New Roman" w:cs="Times New Roman"/>
          <w:snapToGrid w:val="0"/>
          <w:sz w:val="24"/>
          <w:szCs w:val="24"/>
        </w:rPr>
        <w:t>in order to</w:t>
      </w:r>
      <w:proofErr w:type="gramEnd"/>
      <w:r w:rsidRPr="007A72CE">
        <w:rPr>
          <w:rFonts w:ascii="Times New Roman" w:eastAsia="Times New Roman" w:hAnsi="Times New Roman" w:cs="Times New Roman"/>
          <w:snapToGrid w:val="0"/>
          <w:sz w:val="24"/>
          <w:szCs w:val="24"/>
        </w:rPr>
        <w:t xml:space="preserve"> assure the County of prompt delivery.  If the delivery terms specified in the solicitation are not fulfilled by the contractor, the County reserves the right to cancel the order, purchase the goods elsewhere, and charge the contractor for any re-procurement costs incurred by the County.  If the contractor fails to honor these re-procurement costs, the County may terminate the contract for default.</w:t>
      </w:r>
    </w:p>
    <w:p w14:paraId="62411756" w14:textId="77777777" w:rsidR="007A72CE" w:rsidRPr="0061085E" w:rsidRDefault="007A72CE" w:rsidP="007A72CE">
      <w:pPr>
        <w:pStyle w:val="ListParagraph"/>
        <w:spacing w:after="120"/>
        <w:ind w:left="0"/>
        <w:contextualSpacing w:val="0"/>
        <w:jc w:val="both"/>
        <w:rPr>
          <w:rFonts w:ascii="Times New Roman" w:hAnsi="Times New Roman" w:cs="Times New Roman"/>
          <w:b/>
          <w:sz w:val="24"/>
          <w:szCs w:val="24"/>
        </w:rPr>
      </w:pPr>
    </w:p>
    <w:p w14:paraId="6C83824F" w14:textId="0B0691FC" w:rsidR="00A06F53" w:rsidRPr="009044F5" w:rsidRDefault="00A06F53" w:rsidP="006D7819">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D98757C"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217F70">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8A0D4E">
      <w:rPr>
        <w:rFonts w:ascii="Times New Roman" w:hAnsi="Times New Roman" w:cs="Times New Roman"/>
        <w:b/>
        <w:sz w:val="24"/>
        <w:szCs w:val="24"/>
      </w:rPr>
      <w:t>7</w:t>
    </w:r>
    <w:r w:rsidR="00217F70">
      <w:rPr>
        <w:rFonts w:ascii="Times New Roman" w:hAnsi="Times New Roman" w:cs="Times New Roman"/>
        <w:b/>
        <w:sz w:val="24"/>
        <w:szCs w:val="24"/>
      </w:rPr>
      <w:t>52</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8A0D4E">
      <w:rPr>
        <w:rFonts w:ascii="Times New Roman" w:hAnsi="Times New Roman" w:cs="Times New Roman"/>
        <w:b/>
        <w:sz w:val="24"/>
        <w:szCs w:val="24"/>
      </w:rPr>
      <w:t>TRAFFIC COUNTERS FOR PARKS AND TRAILS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759"/>
    <w:multiLevelType w:val="hybridMultilevel"/>
    <w:tmpl w:val="E12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35584A"/>
    <w:multiLevelType w:val="multilevel"/>
    <w:tmpl w:val="FC8ADB6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CC4E8A"/>
    <w:multiLevelType w:val="hybridMultilevel"/>
    <w:tmpl w:val="9EE65B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871F32"/>
    <w:multiLevelType w:val="hybridMultilevel"/>
    <w:tmpl w:val="F0E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37AF0"/>
    <w:multiLevelType w:val="multilevel"/>
    <w:tmpl w:val="9C248E5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F83A9F"/>
    <w:multiLevelType w:val="hybridMultilevel"/>
    <w:tmpl w:val="30E66B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495995">
    <w:abstractNumId w:val="1"/>
  </w:num>
  <w:num w:numId="2" w16cid:durableId="1314215991">
    <w:abstractNumId w:val="8"/>
  </w:num>
  <w:num w:numId="3" w16cid:durableId="1654989178">
    <w:abstractNumId w:val="9"/>
  </w:num>
  <w:num w:numId="4" w16cid:durableId="1054893956">
    <w:abstractNumId w:val="11"/>
  </w:num>
  <w:num w:numId="5" w16cid:durableId="351685921">
    <w:abstractNumId w:val="2"/>
  </w:num>
  <w:num w:numId="6" w16cid:durableId="726296388">
    <w:abstractNumId w:val="3"/>
  </w:num>
  <w:num w:numId="7" w16cid:durableId="981158285">
    <w:abstractNumId w:val="6"/>
  </w:num>
  <w:num w:numId="8" w16cid:durableId="1587231336">
    <w:abstractNumId w:val="7"/>
  </w:num>
  <w:num w:numId="9" w16cid:durableId="43989251">
    <w:abstractNumId w:val="5"/>
  </w:num>
  <w:num w:numId="10" w16cid:durableId="1709987992">
    <w:abstractNumId w:val="10"/>
  </w:num>
  <w:num w:numId="11" w16cid:durableId="225729265">
    <w:abstractNumId w:val="0"/>
  </w:num>
  <w:num w:numId="12" w16cid:durableId="585654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yrdyMEtNVvG0+QjNoUmNQdOGrCQAPsx3XM+6a2b5A/9BZcV/TBR+IfGLIF8dq6BSuGmq6hljViyEaP4MY/cwg==" w:salt="iklZThb7LSS7Goll8oyNt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74C4"/>
    <w:rsid w:val="00073CC8"/>
    <w:rsid w:val="000B2902"/>
    <w:rsid w:val="000C0692"/>
    <w:rsid w:val="000D584F"/>
    <w:rsid w:val="00145C43"/>
    <w:rsid w:val="001931D2"/>
    <w:rsid w:val="001D43E3"/>
    <w:rsid w:val="001E070E"/>
    <w:rsid w:val="001E1FC6"/>
    <w:rsid w:val="001F7C6E"/>
    <w:rsid w:val="00217F70"/>
    <w:rsid w:val="00220B79"/>
    <w:rsid w:val="00234C76"/>
    <w:rsid w:val="00272F11"/>
    <w:rsid w:val="002A167D"/>
    <w:rsid w:val="002C7734"/>
    <w:rsid w:val="002D1FE4"/>
    <w:rsid w:val="003718EF"/>
    <w:rsid w:val="003B62D7"/>
    <w:rsid w:val="0041556F"/>
    <w:rsid w:val="004430D4"/>
    <w:rsid w:val="00445715"/>
    <w:rsid w:val="00450C9F"/>
    <w:rsid w:val="004642AC"/>
    <w:rsid w:val="004F0AE3"/>
    <w:rsid w:val="005018A8"/>
    <w:rsid w:val="00512D2A"/>
    <w:rsid w:val="0056144E"/>
    <w:rsid w:val="00566260"/>
    <w:rsid w:val="005A663B"/>
    <w:rsid w:val="0061085E"/>
    <w:rsid w:val="00617C6A"/>
    <w:rsid w:val="00634CBB"/>
    <w:rsid w:val="006713B7"/>
    <w:rsid w:val="00677CD6"/>
    <w:rsid w:val="006D7819"/>
    <w:rsid w:val="006E0A6F"/>
    <w:rsid w:val="00721771"/>
    <w:rsid w:val="007571E0"/>
    <w:rsid w:val="007826DB"/>
    <w:rsid w:val="00790484"/>
    <w:rsid w:val="007A037D"/>
    <w:rsid w:val="007A72CE"/>
    <w:rsid w:val="007D10BF"/>
    <w:rsid w:val="007D6C56"/>
    <w:rsid w:val="0082430D"/>
    <w:rsid w:val="00851F56"/>
    <w:rsid w:val="0085262E"/>
    <w:rsid w:val="00877D5C"/>
    <w:rsid w:val="008A0D4E"/>
    <w:rsid w:val="008F2BEA"/>
    <w:rsid w:val="009044F5"/>
    <w:rsid w:val="00926CF2"/>
    <w:rsid w:val="00936343"/>
    <w:rsid w:val="009E1F2D"/>
    <w:rsid w:val="00A05B6C"/>
    <w:rsid w:val="00A06F53"/>
    <w:rsid w:val="00A07239"/>
    <w:rsid w:val="00A11573"/>
    <w:rsid w:val="00A65A92"/>
    <w:rsid w:val="00AC4B58"/>
    <w:rsid w:val="00AD00DC"/>
    <w:rsid w:val="00AD320A"/>
    <w:rsid w:val="00AE03B9"/>
    <w:rsid w:val="00B412D2"/>
    <w:rsid w:val="00B52066"/>
    <w:rsid w:val="00B5675D"/>
    <w:rsid w:val="00B61147"/>
    <w:rsid w:val="00BA2EC9"/>
    <w:rsid w:val="00BC17DB"/>
    <w:rsid w:val="00BC5995"/>
    <w:rsid w:val="00BF2E98"/>
    <w:rsid w:val="00C1201A"/>
    <w:rsid w:val="00C15352"/>
    <w:rsid w:val="00C655F9"/>
    <w:rsid w:val="00CD07AD"/>
    <w:rsid w:val="00CE042A"/>
    <w:rsid w:val="00CF0E5A"/>
    <w:rsid w:val="00D15B4A"/>
    <w:rsid w:val="00D5350E"/>
    <w:rsid w:val="00D927C7"/>
    <w:rsid w:val="00DA3028"/>
    <w:rsid w:val="00DA3202"/>
    <w:rsid w:val="00DB262B"/>
    <w:rsid w:val="00DC2E59"/>
    <w:rsid w:val="00E04076"/>
    <w:rsid w:val="00E75FCA"/>
    <w:rsid w:val="00E9750B"/>
    <w:rsid w:val="00EA0973"/>
    <w:rsid w:val="00EB13A9"/>
    <w:rsid w:val="00EC6968"/>
    <w:rsid w:val="00F13387"/>
    <w:rsid w:val="00F4781A"/>
    <w:rsid w:val="00F66424"/>
    <w:rsid w:val="00F8649B"/>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8E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AD00DC"/>
    <w:pPr>
      <w:spacing w:after="0" w:line="240" w:lineRule="auto"/>
    </w:pPr>
  </w:style>
  <w:style w:type="character" w:customStyle="1" w:styleId="Heading1Char">
    <w:name w:val="Heading 1 Char"/>
    <w:basedOn w:val="DefaultParagraphFont"/>
    <w:link w:val="Heading1"/>
    <w:uiPriority w:val="9"/>
    <w:rsid w:val="003718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960</Words>
  <Characters>5478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cp:lastPrinted>2021-08-24T14:59:00Z</cp:lastPrinted>
  <dcterms:created xsi:type="dcterms:W3CDTF">2023-06-21T17:36:00Z</dcterms:created>
  <dcterms:modified xsi:type="dcterms:W3CDTF">2023-06-22T20:25:00Z</dcterms:modified>
</cp:coreProperties>
</file>