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1AF627B" w:rsidR="00EF5966" w:rsidRPr="00CD038E" w:rsidRDefault="00EA1F05" w:rsidP="00D258A9">
      <w:pPr>
        <w:tabs>
          <w:tab w:val="left" w:pos="7020"/>
        </w:tabs>
        <w:rPr>
          <w:szCs w:val="24"/>
        </w:rPr>
      </w:pPr>
      <w:r>
        <w:rPr>
          <w:b/>
          <w:szCs w:val="24"/>
        </w:rPr>
        <w:t xml:space="preserve">SOLICTATION: </w:t>
      </w:r>
      <w:r w:rsidR="002A4682">
        <w:rPr>
          <w:b/>
          <w:szCs w:val="24"/>
        </w:rPr>
        <w:t>Public Safety Funding Consultant</w:t>
      </w:r>
      <w:r w:rsidR="00525414" w:rsidRPr="00CD038E">
        <w:rPr>
          <w:szCs w:val="24"/>
        </w:rPr>
        <w:tab/>
      </w:r>
      <w:r w:rsidR="00C3031B">
        <w:rPr>
          <w:szCs w:val="24"/>
        </w:rPr>
        <w:tab/>
      </w:r>
      <w:r w:rsidR="00C3031B">
        <w:rPr>
          <w:szCs w:val="24"/>
        </w:rPr>
        <w:tab/>
      </w:r>
      <w:r>
        <w:rPr>
          <w:szCs w:val="24"/>
        </w:rPr>
        <w:tab/>
      </w:r>
      <w:r w:rsidR="002A4682">
        <w:rPr>
          <w:szCs w:val="24"/>
        </w:rPr>
        <w:t>06/22/2023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511CCA5" w:rsidR="00EA1F05" w:rsidRDefault="00EA1F05" w:rsidP="002A4682">
      <w:pPr>
        <w:spacing w:after="160"/>
        <w:ind w:left="450" w:hanging="450"/>
        <w:jc w:val="both"/>
        <w:rPr>
          <w:snapToGrid/>
          <w:color w:val="000000"/>
          <w:szCs w:val="24"/>
        </w:rPr>
      </w:pPr>
      <w:r>
        <w:rPr>
          <w:snapToGrid/>
          <w:color w:val="000000"/>
          <w:szCs w:val="24"/>
        </w:rPr>
        <w:t xml:space="preserve">Q1.  </w:t>
      </w:r>
      <w:r w:rsidR="002A4682">
        <w:rPr>
          <w:snapToGrid/>
          <w:color w:val="000000"/>
          <w:szCs w:val="24"/>
        </w:rPr>
        <w:t>Please clarify a few specific requirements within the Scope of Services, 3.1.4-3.1.6 pertaining to the calculation of individual property rates. I believe these calculations are provided by Government Services Group (GSG) within the State of Florida. Would you still like to have calculations included, knowing that GSG will almost certainly do their calculations, and these may vary from others? If not, clarification would be greatly appreciated.</w:t>
      </w:r>
    </w:p>
    <w:p w14:paraId="02E6CF71" w14:textId="5506D314" w:rsidR="00EA1F05" w:rsidRPr="002A4682" w:rsidRDefault="00EA1F05" w:rsidP="002A4682">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2A4682">
        <w:rPr>
          <w:b/>
          <w:bCs/>
          <w:snapToGrid/>
          <w:color w:val="000000"/>
          <w:szCs w:val="24"/>
        </w:rPr>
        <w:t xml:space="preserve">The County desires to consider other funding options and considerations based on such things like square footage that are available and within the law. </w:t>
      </w:r>
    </w:p>
    <w:p w14:paraId="2C6D366D" w14:textId="589B903F" w:rsidR="00EA1F05" w:rsidRPr="002A4682"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444C1A5" w:rsidR="0069382C" w:rsidRPr="00EA1F05" w:rsidRDefault="0069382C" w:rsidP="0069382C">
    <w:pPr>
      <w:pStyle w:val="Header"/>
      <w:tabs>
        <w:tab w:val="clear" w:pos="8640"/>
        <w:tab w:val="right" w:pos="9900"/>
      </w:tabs>
      <w:rPr>
        <w:b/>
        <w:bCs/>
      </w:rPr>
    </w:pPr>
    <w:r w:rsidRPr="00EA1F05">
      <w:rPr>
        <w:b/>
        <w:bCs/>
      </w:rPr>
      <w:t xml:space="preserve">ADDENDUM NO. </w:t>
    </w:r>
    <w:r w:rsidR="002A4682">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2A4682">
      <w:rPr>
        <w:b/>
        <w:bCs/>
      </w:rPr>
      <w:t>532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107021">
    <w:abstractNumId w:val="0"/>
  </w:num>
  <w:num w:numId="2" w16cid:durableId="406614433">
    <w:abstractNumId w:val="4"/>
  </w:num>
  <w:num w:numId="3" w16cid:durableId="1514219483">
    <w:abstractNumId w:val="3"/>
  </w:num>
  <w:num w:numId="4" w16cid:durableId="1998878685">
    <w:abstractNumId w:val="5"/>
  </w:num>
  <w:num w:numId="5" w16cid:durableId="958218570">
    <w:abstractNumId w:val="1"/>
  </w:num>
  <w:num w:numId="6" w16cid:durableId="185672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lwp8YrxfygbOphDxe4OYi+FELjHMAttnzy53GQZjVje3k0dvr0D5f+KituL3WGMy6jPA2g4pk7vrlm+26oKg==" w:salt="svI8IhIvsN/3HT1sbU3tl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A4682"/>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2023-06-22T15:29:00Z</dcterms:created>
  <dcterms:modified xsi:type="dcterms:W3CDTF">2023-06-22T15:29:00Z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