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6DA7D06" w14:textId="77777777" w:rsidR="00DD6609" w:rsidRDefault="00EA1F05" w:rsidP="00D258A9">
      <w:pPr>
        <w:tabs>
          <w:tab w:val="left" w:pos="7020"/>
        </w:tabs>
        <w:rPr>
          <w:bCs/>
          <w:szCs w:val="24"/>
        </w:rPr>
      </w:pPr>
      <w:r>
        <w:rPr>
          <w:b/>
          <w:szCs w:val="24"/>
        </w:rPr>
        <w:t xml:space="preserve">SOLICTATION: </w:t>
      </w:r>
      <w:r w:rsidR="00DD6609">
        <w:rPr>
          <w:bCs/>
          <w:szCs w:val="24"/>
        </w:rPr>
        <w:t>Third Party Administrator for Workers Comp</w:t>
      </w:r>
    </w:p>
    <w:p w14:paraId="5E2E8274" w14:textId="6179E95A" w:rsidR="00EF5966" w:rsidRPr="00CD038E" w:rsidRDefault="00DD6609" w:rsidP="00D258A9">
      <w:pPr>
        <w:tabs>
          <w:tab w:val="left" w:pos="7020"/>
        </w:tabs>
        <w:rPr>
          <w:szCs w:val="24"/>
        </w:rPr>
      </w:pPr>
      <w:r>
        <w:rPr>
          <w:bCs/>
          <w:szCs w:val="24"/>
        </w:rPr>
        <w:t xml:space="preserve">                               And Employer Liability</w:t>
      </w:r>
      <w:r w:rsidR="00844CB0">
        <w:rPr>
          <w:bCs/>
          <w:szCs w:val="24"/>
        </w:rPr>
        <w:t>, Property &amp; Liability</w:t>
      </w:r>
      <w:r>
        <w:rPr>
          <w:bCs/>
          <w:szCs w:val="24"/>
        </w:rPr>
        <w:t xml:space="preserve"> </w:t>
      </w:r>
      <w:r w:rsidR="00525414" w:rsidRPr="00CD038E">
        <w:rPr>
          <w:szCs w:val="24"/>
        </w:rPr>
        <w:tab/>
      </w:r>
      <w:r w:rsidR="00C3031B">
        <w:rPr>
          <w:szCs w:val="24"/>
        </w:rPr>
        <w:tab/>
      </w:r>
      <w:r w:rsidR="00C3031B">
        <w:rPr>
          <w:szCs w:val="24"/>
        </w:rPr>
        <w:tab/>
      </w:r>
      <w:r w:rsidR="00EA1F05">
        <w:rPr>
          <w:szCs w:val="24"/>
        </w:rPr>
        <w:tab/>
      </w:r>
      <w:r w:rsidR="00121115">
        <w:rPr>
          <w:szCs w:val="24"/>
        </w:rPr>
        <w:t>04/10</w:t>
      </w:r>
      <w:r>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1ADDC36" w:rsidR="00EA1F05" w:rsidRDefault="00EA1F05" w:rsidP="00844CB0">
      <w:pPr>
        <w:spacing w:after="160"/>
        <w:ind w:left="630" w:hanging="630"/>
        <w:jc w:val="both"/>
        <w:rPr>
          <w:snapToGrid/>
          <w:color w:val="000000"/>
          <w:szCs w:val="24"/>
        </w:rPr>
      </w:pPr>
      <w:r>
        <w:rPr>
          <w:snapToGrid/>
          <w:color w:val="000000"/>
          <w:szCs w:val="24"/>
        </w:rPr>
        <w:t>Q1</w:t>
      </w:r>
      <w:r w:rsidR="00844CB0">
        <w:rPr>
          <w:snapToGrid/>
          <w:color w:val="000000"/>
          <w:szCs w:val="24"/>
        </w:rPr>
        <w:t>1</w:t>
      </w:r>
      <w:r>
        <w:rPr>
          <w:snapToGrid/>
          <w:color w:val="000000"/>
          <w:szCs w:val="24"/>
        </w:rPr>
        <w:t xml:space="preserve">.  </w:t>
      </w:r>
      <w:r w:rsidR="00844CB0">
        <w:rPr>
          <w:snapToGrid/>
          <w:color w:val="000000"/>
          <w:szCs w:val="24"/>
        </w:rPr>
        <w:t xml:space="preserve">Does the County presently have a legal team that they work with regarding claims or does the “successor” of the solicitation have to have their own legal team regarding claims? If so, why the change? If not, can we or should we be looking forward to working with the present lawyers regarding claims? </w:t>
      </w:r>
    </w:p>
    <w:p w14:paraId="502707AC" w14:textId="3483872C" w:rsidR="002D4C1C" w:rsidRDefault="00EA1F05" w:rsidP="00844CB0">
      <w:pPr>
        <w:spacing w:after="160"/>
        <w:ind w:left="630" w:hanging="630"/>
        <w:jc w:val="both"/>
        <w:rPr>
          <w:b/>
          <w:bCs/>
          <w:snapToGrid/>
          <w:color w:val="000000"/>
          <w:szCs w:val="24"/>
        </w:rPr>
      </w:pPr>
      <w:r w:rsidRPr="00EA1F05">
        <w:rPr>
          <w:b/>
          <w:bCs/>
          <w:snapToGrid/>
          <w:color w:val="000000"/>
          <w:szCs w:val="24"/>
        </w:rPr>
        <w:t>R1</w:t>
      </w:r>
      <w:r w:rsidR="00844CB0">
        <w:rPr>
          <w:b/>
          <w:bCs/>
          <w:snapToGrid/>
          <w:color w:val="000000"/>
          <w:szCs w:val="24"/>
        </w:rPr>
        <w:t>1</w:t>
      </w:r>
      <w:r w:rsidRPr="00EA1F05">
        <w:rPr>
          <w:b/>
          <w:bCs/>
          <w:snapToGrid/>
          <w:color w:val="000000"/>
          <w:szCs w:val="24"/>
        </w:rPr>
        <w:t>.</w:t>
      </w:r>
      <w:r>
        <w:rPr>
          <w:snapToGrid/>
          <w:color w:val="000000"/>
          <w:szCs w:val="24"/>
        </w:rPr>
        <w:t xml:space="preserve">   </w:t>
      </w:r>
      <w:r w:rsidR="00844CB0" w:rsidRPr="00121115">
        <w:rPr>
          <w:b/>
          <w:bCs/>
          <w:snapToGrid/>
          <w:color w:val="000000"/>
          <w:szCs w:val="24"/>
        </w:rPr>
        <w:t>The County does have their own outside legal counsel for Liability and a separate one for Workers Compensation which the County will continue to use in the future no matter the Third-Party Administrator.</w:t>
      </w:r>
      <w:r w:rsidR="00844CB0">
        <w:rPr>
          <w:snapToGrid/>
          <w:color w:val="000000"/>
          <w:szCs w:val="24"/>
        </w:rPr>
        <w:t xml:space="preserve"> </w:t>
      </w:r>
    </w:p>
    <w:p w14:paraId="6B9F4DDC" w14:textId="65F787C5" w:rsidR="00EA1F05" w:rsidRDefault="00EA1F05" w:rsidP="00121115">
      <w:pPr>
        <w:spacing w:after="160"/>
        <w:ind w:left="630" w:hanging="630"/>
        <w:jc w:val="both"/>
        <w:rPr>
          <w:b/>
          <w:bCs/>
        </w:rPr>
      </w:pPr>
      <w:r>
        <w:rPr>
          <w:snapToGrid/>
          <w:color w:val="000000"/>
          <w:szCs w:val="24"/>
        </w:rPr>
        <w:t>Q</w:t>
      </w:r>
      <w:r w:rsidR="00844CB0">
        <w:rPr>
          <w:snapToGrid/>
          <w:color w:val="000000"/>
          <w:szCs w:val="24"/>
        </w:rPr>
        <w:t>1</w:t>
      </w:r>
      <w:r>
        <w:rPr>
          <w:snapToGrid/>
          <w:color w:val="000000"/>
          <w:szCs w:val="24"/>
        </w:rPr>
        <w:t>2.</w:t>
      </w:r>
      <w:r w:rsidR="00121115">
        <w:rPr>
          <w:snapToGrid/>
          <w:color w:val="000000"/>
          <w:szCs w:val="24"/>
        </w:rPr>
        <w:t xml:space="preserve"> Is the County open to responses from vendors providing only billing review, nurse case management, and partnering with the County’s TPA or will the program be awarded to one vendor?</w:t>
      </w:r>
    </w:p>
    <w:p w14:paraId="02E6CF71" w14:textId="64207A5D" w:rsidR="00EA1F05" w:rsidRDefault="00EA1F05" w:rsidP="00EA1F05">
      <w:pPr>
        <w:spacing w:after="160"/>
        <w:ind w:left="540" w:hanging="540"/>
        <w:jc w:val="both"/>
        <w:rPr>
          <w:b/>
          <w:bCs/>
        </w:rPr>
      </w:pPr>
      <w:r>
        <w:rPr>
          <w:b/>
          <w:bCs/>
        </w:rPr>
        <w:t>R</w:t>
      </w:r>
      <w:r w:rsidR="00844CB0">
        <w:rPr>
          <w:b/>
          <w:bCs/>
        </w:rPr>
        <w:t>1</w:t>
      </w:r>
      <w:r>
        <w:rPr>
          <w:b/>
          <w:bCs/>
        </w:rPr>
        <w:t>2</w:t>
      </w:r>
      <w:r w:rsidR="00121115">
        <w:rPr>
          <w:b/>
          <w:bCs/>
        </w:rPr>
        <w:t xml:space="preserve">   There will only be one (1) awarded vendor. </w:t>
      </w:r>
    </w:p>
    <w:p w14:paraId="4D032DE8" w14:textId="48833A95" w:rsidR="00121115" w:rsidRDefault="00121115" w:rsidP="00EA1F05">
      <w:pPr>
        <w:spacing w:after="160"/>
        <w:ind w:left="540" w:hanging="540"/>
        <w:jc w:val="both"/>
        <w:rPr>
          <w:b/>
          <w:bCs/>
        </w:rPr>
      </w:pPr>
      <w:r>
        <w:rPr>
          <w:b/>
          <w:bCs/>
        </w:rPr>
        <w:t xml:space="preserve">Q13.  </w:t>
      </w:r>
      <w:r w:rsidR="00D35CC3">
        <w:t xml:space="preserve">Can the County share the current open and anticipated claim volume? </w:t>
      </w:r>
      <w:r>
        <w:rPr>
          <w:b/>
          <w:bCs/>
        </w:rPr>
        <w:t xml:space="preserve"> </w:t>
      </w:r>
    </w:p>
    <w:p w14:paraId="3E596882" w14:textId="77777777" w:rsidR="007849B2" w:rsidRDefault="00121115" w:rsidP="00121115">
      <w:pPr>
        <w:spacing w:after="160"/>
        <w:ind w:left="630" w:hanging="630"/>
        <w:jc w:val="both"/>
        <w:rPr>
          <w:b/>
          <w:bCs/>
        </w:rPr>
      </w:pPr>
      <w:r>
        <w:rPr>
          <w:b/>
          <w:bCs/>
        </w:rPr>
        <w:t xml:space="preserve">R13. </w:t>
      </w:r>
      <w:r w:rsidR="00D35CC3">
        <w:rPr>
          <w:b/>
          <w:bCs/>
        </w:rPr>
        <w:t xml:space="preserve"> </w:t>
      </w:r>
      <w:r w:rsidR="007849B2">
        <w:rPr>
          <w:b/>
          <w:bCs/>
        </w:rPr>
        <w:t>The County only provides new claims from 10/1/2021 to present, reflecting a volume of 1.5 years.</w:t>
      </w:r>
    </w:p>
    <w:p w14:paraId="7B0178F9" w14:textId="728DA0A9" w:rsidR="00121115" w:rsidRDefault="00D35CC3" w:rsidP="007849B2">
      <w:pPr>
        <w:spacing w:after="160"/>
        <w:ind w:left="630"/>
        <w:jc w:val="both"/>
        <w:rPr>
          <w:b/>
          <w:bCs/>
        </w:rPr>
      </w:pPr>
      <w:r>
        <w:rPr>
          <w:b/>
          <w:bCs/>
        </w:rPr>
        <w:t>New Claims Run Report Information for 10/1/2021 to Present:</w:t>
      </w:r>
    </w:p>
    <w:p w14:paraId="05FC3451" w14:textId="2E7DA952" w:rsidR="00D35CC3" w:rsidRDefault="00D35CC3" w:rsidP="00121115">
      <w:pPr>
        <w:spacing w:after="160"/>
        <w:ind w:left="630" w:hanging="630"/>
        <w:jc w:val="both"/>
        <w:rPr>
          <w:b/>
          <w:bCs/>
        </w:rPr>
      </w:pPr>
      <w:r>
        <w:rPr>
          <w:b/>
          <w:bCs/>
        </w:rPr>
        <w:tab/>
        <w:t xml:space="preserve">Workers’ Compensation Claims: 1/1/2022 to 12/31/2022 were 182, includes “Report Only.” Total Open Claims for this period is 21. </w:t>
      </w:r>
    </w:p>
    <w:p w14:paraId="25D56E68" w14:textId="208EFC75" w:rsidR="00D35CC3" w:rsidRPr="00EA1F05" w:rsidRDefault="00D35CC3" w:rsidP="00121115">
      <w:pPr>
        <w:spacing w:after="160"/>
        <w:ind w:left="630" w:hanging="630"/>
        <w:jc w:val="both"/>
        <w:rPr>
          <w:b/>
          <w:bCs/>
        </w:rPr>
      </w:pPr>
      <w:r>
        <w:rPr>
          <w:b/>
          <w:bCs/>
        </w:rPr>
        <w:tab/>
        <w:t xml:space="preserve">Property &amp; Liability Claims: 1/1/2022 to 12/31/2022 were 242 (includes in house handled claims and “Report Only”) Total claims for this period turned into the TPA were 8, and of those 8, 7 are still open. </w:t>
      </w:r>
    </w:p>
    <w:p w14:paraId="2C6D366D" w14:textId="312CFED1" w:rsidR="00EA1F05" w:rsidRPr="00121115"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C3AE0E7" w:rsidR="0069382C" w:rsidRPr="00EA1F05" w:rsidRDefault="0069382C" w:rsidP="0069382C">
    <w:pPr>
      <w:pStyle w:val="Header"/>
      <w:tabs>
        <w:tab w:val="clear" w:pos="8640"/>
        <w:tab w:val="right" w:pos="9900"/>
      </w:tabs>
      <w:rPr>
        <w:b/>
        <w:bCs/>
      </w:rPr>
    </w:pPr>
    <w:r w:rsidRPr="00EA1F05">
      <w:rPr>
        <w:b/>
        <w:bCs/>
      </w:rPr>
      <w:t xml:space="preserve">ADDENDUM NO. </w:t>
    </w:r>
    <w:r w:rsidR="00121115">
      <w:rPr>
        <w:b/>
        <w:bCs/>
      </w:rPr>
      <w:t>4</w:t>
    </w:r>
    <w:r w:rsidRPr="00EA1F05">
      <w:rPr>
        <w:b/>
        <w:bCs/>
      </w:rPr>
      <w:tab/>
    </w:r>
    <w:r w:rsidRPr="00EA1F05">
      <w:rPr>
        <w:b/>
        <w:bCs/>
      </w:rPr>
      <w:tab/>
    </w:r>
    <w:r w:rsidR="00EA1F05" w:rsidRPr="00EA1F05">
      <w:rPr>
        <w:b/>
        <w:bCs/>
      </w:rPr>
      <w:t>2</w:t>
    </w:r>
    <w:r w:rsidR="009152CD">
      <w:rPr>
        <w:b/>
        <w:bCs/>
      </w:rPr>
      <w:t>3</w:t>
    </w:r>
    <w:r w:rsidR="00EA1F05" w:rsidRPr="00EA1F05">
      <w:rPr>
        <w:b/>
        <w:bCs/>
      </w:rPr>
      <w:t>-</w:t>
    </w:r>
    <w:r w:rsidR="00DD6609">
      <w:rPr>
        <w:b/>
        <w:bCs/>
      </w:rPr>
      <w:t>524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593595">
    <w:abstractNumId w:val="0"/>
  </w:num>
  <w:num w:numId="2" w16cid:durableId="1693918711">
    <w:abstractNumId w:val="4"/>
  </w:num>
  <w:num w:numId="3" w16cid:durableId="1604804672">
    <w:abstractNumId w:val="3"/>
  </w:num>
  <w:num w:numId="4" w16cid:durableId="1510102255">
    <w:abstractNumId w:val="5"/>
  </w:num>
  <w:num w:numId="5" w16cid:durableId="1662849998">
    <w:abstractNumId w:val="1"/>
  </w:num>
  <w:num w:numId="6" w16cid:durableId="2459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8QVVI0VxshWnj5W2UePJv9Dt6dAAYPA3DpJQwDSzTXNihPUkrfpuxD4UBq21HwO9Ygb2nGSlK9L5Wxy/fgZFw==" w:salt="tRbsN2uIPr0SPS+uVyI9Y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1115"/>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80AA6"/>
    <w:rsid w:val="004B1918"/>
    <w:rsid w:val="004C3C70"/>
    <w:rsid w:val="005055D3"/>
    <w:rsid w:val="00517FFC"/>
    <w:rsid w:val="00523D30"/>
    <w:rsid w:val="00524A6A"/>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49B2"/>
    <w:rsid w:val="00785DA3"/>
    <w:rsid w:val="007A5299"/>
    <w:rsid w:val="007F6F6F"/>
    <w:rsid w:val="0080285B"/>
    <w:rsid w:val="0080437C"/>
    <w:rsid w:val="00804ECA"/>
    <w:rsid w:val="00807860"/>
    <w:rsid w:val="00831988"/>
    <w:rsid w:val="00837F13"/>
    <w:rsid w:val="008428B7"/>
    <w:rsid w:val="00844CB0"/>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35CC3"/>
    <w:rsid w:val="00D4336C"/>
    <w:rsid w:val="00D454B6"/>
    <w:rsid w:val="00DB7FA9"/>
    <w:rsid w:val="00DC457D"/>
    <w:rsid w:val="00DC68A5"/>
    <w:rsid w:val="00DD2371"/>
    <w:rsid w:val="00DD4532"/>
    <w:rsid w:val="00DD6609"/>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2023-04-10T18:42:00Z</dcterms:created>
  <dcterms:modified xsi:type="dcterms:W3CDTF">2023-04-10T18:42:00Z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