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F15193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437CF">
        <w:rPr>
          <w:bCs/>
          <w:szCs w:val="24"/>
        </w:rPr>
        <w:t>Employee Assistance Program (EAP)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9017C">
        <w:rPr>
          <w:szCs w:val="24"/>
        </w:rPr>
        <w:t>03/15</w:t>
      </w:r>
      <w:r w:rsidR="00C3031B">
        <w:rPr>
          <w:szCs w:val="24"/>
        </w:rPr>
        <w:t>/202</w:t>
      </w:r>
      <w:r w:rsidR="007437CF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35099D68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49017C">
        <w:rPr>
          <w:snapToGrid/>
          <w:color w:val="000000"/>
          <w:szCs w:val="24"/>
        </w:rPr>
        <w:t>Are the quarterly Account Management meetings onsite or virtual?</w:t>
      </w:r>
    </w:p>
    <w:p w14:paraId="502707AC" w14:textId="00ACF577" w:rsidR="002D4C1C" w:rsidRPr="0049017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49017C">
        <w:rPr>
          <w:b/>
          <w:bCs/>
          <w:snapToGrid/>
          <w:color w:val="000000"/>
          <w:szCs w:val="24"/>
        </w:rPr>
        <w:t xml:space="preserve">These meetings are typically held virtually. </w:t>
      </w:r>
    </w:p>
    <w:p w14:paraId="6B9F4DDC" w14:textId="07388D5C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49017C">
        <w:rPr>
          <w:snapToGrid/>
          <w:color w:val="000000"/>
          <w:szCs w:val="24"/>
        </w:rPr>
        <w:t xml:space="preserve">  How many CIR/CISD hours do you have available in your current EAP plan?</w:t>
      </w:r>
    </w:p>
    <w:p w14:paraId="02E6CF71" w14:textId="799F0EF7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49017C">
        <w:rPr>
          <w:b/>
          <w:bCs/>
        </w:rPr>
        <w:t xml:space="preserve">2.  There are unlimited CISD/CIR hours in the contract. This service is included with the PEPM fee. </w:t>
      </w:r>
    </w:p>
    <w:p w14:paraId="659B439C" w14:textId="77777777" w:rsidR="0049017C" w:rsidRPr="0049017C" w:rsidRDefault="0049017C" w:rsidP="00EA1F05">
      <w:pPr>
        <w:spacing w:after="160"/>
        <w:ind w:left="540" w:hanging="540"/>
        <w:jc w:val="both"/>
      </w:pPr>
      <w:r>
        <w:rPr>
          <w:b/>
          <w:bCs/>
        </w:rPr>
        <w:t xml:space="preserve">Q3.  </w:t>
      </w:r>
      <w:r w:rsidRPr="0049017C">
        <w:t>Does your current plan include Supervisory referrals?</w:t>
      </w:r>
    </w:p>
    <w:p w14:paraId="4C887C1F" w14:textId="7074FF38" w:rsidR="0049017C" w:rsidRDefault="004901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R3.  Yes, Supervisory referrals are included.</w:t>
      </w:r>
    </w:p>
    <w:p w14:paraId="242F56D6" w14:textId="7F458010" w:rsidR="0049017C" w:rsidRPr="0049017C" w:rsidRDefault="0049017C" w:rsidP="00EA1F05">
      <w:pPr>
        <w:spacing w:after="160"/>
        <w:ind w:left="540" w:hanging="540"/>
        <w:jc w:val="both"/>
      </w:pPr>
      <w:r>
        <w:rPr>
          <w:b/>
          <w:bCs/>
        </w:rPr>
        <w:t xml:space="preserve">Q4.  </w:t>
      </w:r>
      <w:r w:rsidRPr="0049017C">
        <w:t>We understand that open enrollment is around 5 sessions. Are these on the same day? How many days/hours would the vendor be expected to be onsite for this?</w:t>
      </w:r>
    </w:p>
    <w:p w14:paraId="0DCA37D7" w14:textId="7C49528C" w:rsidR="0049017C" w:rsidRDefault="004901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R4.   See attached Addendum 1 Open Enrollment 2019 Stuffer</w:t>
      </w:r>
    </w:p>
    <w:p w14:paraId="02094679" w14:textId="50E35252" w:rsidR="0049017C" w:rsidRDefault="004901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Q5.  </w:t>
      </w:r>
      <w:r w:rsidRPr="0049017C">
        <w:t>Can you provide the cost of your current EAP program?</w:t>
      </w:r>
      <w:r>
        <w:rPr>
          <w:b/>
          <w:bCs/>
        </w:rPr>
        <w:t xml:space="preserve">  </w:t>
      </w:r>
    </w:p>
    <w:p w14:paraId="3BDA047B" w14:textId="23F0C25E" w:rsidR="0049017C" w:rsidRDefault="004901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R5.  $1.22 PEPM</w:t>
      </w:r>
    </w:p>
    <w:p w14:paraId="665D4D37" w14:textId="4E942143" w:rsidR="0049017C" w:rsidRDefault="0049017C" w:rsidP="00EA1F05">
      <w:pPr>
        <w:spacing w:after="160"/>
        <w:ind w:left="540" w:hanging="540"/>
        <w:jc w:val="both"/>
      </w:pPr>
      <w:r>
        <w:rPr>
          <w:b/>
          <w:bCs/>
        </w:rPr>
        <w:t xml:space="preserve">Q6.  </w:t>
      </w:r>
      <w:r>
        <w:t>The RFP states that we need to show proof of Sunbiz.org registration. Can the County provide us more information about what this specifically means?</w:t>
      </w:r>
    </w:p>
    <w:p w14:paraId="23CCE8D3" w14:textId="77FEBF4F" w:rsidR="0049017C" w:rsidRPr="0049017C" w:rsidRDefault="0049017C" w:rsidP="00001F28">
      <w:pPr>
        <w:spacing w:after="160"/>
        <w:ind w:left="450" w:hanging="450"/>
        <w:jc w:val="both"/>
      </w:pPr>
      <w:r>
        <w:rPr>
          <w:b/>
          <w:bCs/>
        </w:rPr>
        <w:t>R6.</w:t>
      </w:r>
      <w:r>
        <w:t xml:space="preserve">  </w:t>
      </w:r>
      <w:r w:rsidR="00001F28" w:rsidRPr="00001F28">
        <w:rPr>
          <w:b/>
          <w:bCs/>
        </w:rPr>
        <w:t>Businesses registered on Sunbiz.org to make corporate and business filings public, the State of Florida’s goal is to ensure businesses and individuals are protected when doing business with one another.</w:t>
      </w:r>
      <w:r w:rsidR="00001F28">
        <w:t xml:space="preserve"> </w:t>
      </w:r>
    </w:p>
    <w:p w14:paraId="2C6D366D" w14:textId="00FE6859" w:rsidR="00EA1F05" w:rsidRPr="007437CF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lastRenderedPageBreak/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43CA25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9017C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437CF">
      <w:rPr>
        <w:b/>
        <w:bCs/>
      </w:rPr>
      <w:t>519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51161">
    <w:abstractNumId w:val="0"/>
  </w:num>
  <w:num w:numId="2" w16cid:durableId="727533389">
    <w:abstractNumId w:val="4"/>
  </w:num>
  <w:num w:numId="3" w16cid:durableId="1787504994">
    <w:abstractNumId w:val="3"/>
  </w:num>
  <w:num w:numId="4" w16cid:durableId="924070997">
    <w:abstractNumId w:val="5"/>
  </w:num>
  <w:num w:numId="5" w16cid:durableId="1904607814">
    <w:abstractNumId w:val="1"/>
  </w:num>
  <w:num w:numId="6" w16cid:durableId="22283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HEScPE8ESNRQkZtSF5mBWQ9c+WT3LEhjaXcweyUiOKC3/SCKpRfWuko0YhCHzckk0VFv8EFVU2tfBu2H4P9Q==" w:salt="+GFhQwDAL/W9sZWLvpDM3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1F28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9017C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437CF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867D3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2023-03-15T15:04:00Z</dcterms:created>
  <dcterms:modified xsi:type="dcterms:W3CDTF">2023-03-15T15:04:00Z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