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07EA7E11" w:rsidR="00EF5966" w:rsidRPr="00CD038E" w:rsidRDefault="00EA1F05" w:rsidP="00D258A9">
      <w:pPr>
        <w:tabs>
          <w:tab w:val="left" w:pos="7020"/>
        </w:tabs>
        <w:rPr>
          <w:szCs w:val="24"/>
        </w:rPr>
      </w:pPr>
      <w:r>
        <w:rPr>
          <w:b/>
          <w:szCs w:val="24"/>
        </w:rPr>
        <w:t xml:space="preserve">SOLICTATION: </w:t>
      </w:r>
      <w:r w:rsidR="003A6361">
        <w:rPr>
          <w:bCs/>
          <w:szCs w:val="24"/>
        </w:rPr>
        <w:t>Provisional Affordable Housing</w:t>
      </w:r>
      <w:r w:rsidR="00525414" w:rsidRPr="00CD038E">
        <w:rPr>
          <w:szCs w:val="24"/>
        </w:rPr>
        <w:tab/>
      </w:r>
      <w:r w:rsidR="00C3031B">
        <w:rPr>
          <w:szCs w:val="24"/>
        </w:rPr>
        <w:tab/>
      </w:r>
      <w:r w:rsidR="00C3031B">
        <w:rPr>
          <w:szCs w:val="24"/>
        </w:rPr>
        <w:tab/>
      </w:r>
      <w:r>
        <w:rPr>
          <w:szCs w:val="24"/>
        </w:rPr>
        <w:tab/>
      </w:r>
      <w:r w:rsidR="003A6361">
        <w:rPr>
          <w:szCs w:val="24"/>
        </w:rPr>
        <w:t>12/</w:t>
      </w:r>
      <w:r w:rsidR="002466A0">
        <w:rPr>
          <w:szCs w:val="24"/>
        </w:rPr>
        <w:t>16</w:t>
      </w:r>
      <w:r w:rsidR="00C3031B">
        <w:rPr>
          <w:szCs w:val="24"/>
        </w:rPr>
        <w:t>/202</w:t>
      </w:r>
      <w:r w:rsidR="00F8073B">
        <w:rPr>
          <w:szCs w:val="24"/>
        </w:rPr>
        <w:t>2</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1BF68A1A" w:rsidR="00B60E88" w:rsidRDefault="00271D07" w:rsidP="00EA1F05">
      <w:pPr>
        <w:pStyle w:val="Default"/>
        <w:tabs>
          <w:tab w:val="left" w:pos="360"/>
        </w:tabs>
        <w:spacing w:after="240"/>
        <w:ind w:left="360"/>
      </w:pPr>
      <w:r w:rsidRPr="008E5F15">
        <w:t>THIS ADDENDUM DOES NOT CHANGE THE DATE FOR RECEIPT OF PROPOSALS.</w:t>
      </w:r>
    </w:p>
    <w:p w14:paraId="5C1CD418" w14:textId="0E45739E" w:rsidR="00EA1F05" w:rsidRPr="00EA1F05" w:rsidRDefault="00EA1F05" w:rsidP="00EA1F05">
      <w:pPr>
        <w:pStyle w:val="Default"/>
        <w:tabs>
          <w:tab w:val="left" w:pos="360"/>
        </w:tabs>
        <w:spacing w:after="240"/>
        <w:rPr>
          <w:b/>
          <w:bCs/>
          <w:u w:val="single"/>
        </w:rPr>
      </w:pPr>
      <w:r w:rsidRPr="00EA1F05">
        <w:rPr>
          <w:b/>
          <w:bCs/>
          <w:u w:val="single"/>
        </w:rPr>
        <w:t>QUESTIONS/RESPONSES</w:t>
      </w:r>
    </w:p>
    <w:p w14:paraId="57A0310A" w14:textId="270F6193" w:rsidR="00EA1F05" w:rsidRDefault="00EA1F05" w:rsidP="00DB7715">
      <w:pPr>
        <w:spacing w:after="160"/>
        <w:ind w:left="540" w:hanging="540"/>
        <w:jc w:val="both"/>
        <w:rPr>
          <w:snapToGrid/>
          <w:color w:val="000000"/>
          <w:szCs w:val="24"/>
        </w:rPr>
      </w:pPr>
      <w:r>
        <w:rPr>
          <w:snapToGrid/>
          <w:color w:val="000000"/>
          <w:szCs w:val="24"/>
        </w:rPr>
        <w:t>Q</w:t>
      </w:r>
      <w:r w:rsidR="00302844">
        <w:rPr>
          <w:snapToGrid/>
          <w:color w:val="000000"/>
          <w:szCs w:val="24"/>
        </w:rPr>
        <w:t>11.  In Exhibit A – Scope of Services, it states that the income and affordability requirements must be eligible under one of the federal housing programs as seen in 1.1.1 – some federal programs allow up to 80% AMI clients to be served but then it states that the intended audience is 65% AMI and below is 1.1.2.1 per the County. Are families that are 80% AMI and below eligible clients for these funds? Or is it strictly 65% AMI and below? This is specifically referencing a project that would be for homeownership purposes.</w:t>
      </w:r>
    </w:p>
    <w:p w14:paraId="502707AC" w14:textId="1C8715FB" w:rsidR="002D4C1C" w:rsidRDefault="00EA1F05" w:rsidP="00EA1F05">
      <w:pPr>
        <w:spacing w:after="160"/>
        <w:ind w:left="540" w:hanging="540"/>
        <w:jc w:val="both"/>
        <w:rPr>
          <w:b/>
          <w:bCs/>
          <w:snapToGrid/>
          <w:color w:val="000000"/>
          <w:szCs w:val="24"/>
        </w:rPr>
      </w:pPr>
      <w:r w:rsidRPr="00EA1F05">
        <w:rPr>
          <w:b/>
          <w:bCs/>
          <w:snapToGrid/>
          <w:color w:val="000000"/>
          <w:szCs w:val="24"/>
        </w:rPr>
        <w:t>R</w:t>
      </w:r>
      <w:r w:rsidR="0062511B">
        <w:rPr>
          <w:b/>
          <w:bCs/>
          <w:snapToGrid/>
          <w:color w:val="000000"/>
          <w:szCs w:val="24"/>
        </w:rPr>
        <w:t xml:space="preserve">6.   </w:t>
      </w:r>
      <w:r w:rsidR="00302844">
        <w:rPr>
          <w:b/>
          <w:bCs/>
          <w:snapToGrid/>
          <w:color w:val="000000"/>
          <w:szCs w:val="24"/>
        </w:rPr>
        <w:t>Treasury has clarified that there are four (4) core program requirements for these federal housing programs that must be met for presumptive eligibility:</w:t>
      </w:r>
    </w:p>
    <w:p w14:paraId="0562F961" w14:textId="1B87FAE0" w:rsidR="00BE4263" w:rsidRPr="00BE4263" w:rsidRDefault="00BE4263" w:rsidP="00BE4263">
      <w:pPr>
        <w:pStyle w:val="ListParagraph"/>
        <w:numPr>
          <w:ilvl w:val="0"/>
          <w:numId w:val="8"/>
        </w:numPr>
        <w:spacing w:after="160"/>
        <w:jc w:val="both"/>
        <w:rPr>
          <w:rFonts w:ascii="Times New Roman" w:hAnsi="Times New Roman"/>
          <w:b/>
          <w:bCs/>
          <w:color w:val="000000"/>
          <w:sz w:val="24"/>
          <w:szCs w:val="24"/>
        </w:rPr>
      </w:pPr>
      <w:r w:rsidRPr="00BE4263">
        <w:rPr>
          <w:rFonts w:ascii="Times New Roman" w:hAnsi="Times New Roman"/>
          <w:b/>
          <w:bCs/>
          <w:color w:val="000000"/>
          <w:sz w:val="24"/>
          <w:szCs w:val="24"/>
        </w:rPr>
        <w:t>Resident income restrictions;</w:t>
      </w:r>
    </w:p>
    <w:p w14:paraId="4AB0143A" w14:textId="6404544B" w:rsidR="00BE4263" w:rsidRPr="00BE4263" w:rsidRDefault="00BE4263" w:rsidP="00BE4263">
      <w:pPr>
        <w:pStyle w:val="ListParagraph"/>
        <w:numPr>
          <w:ilvl w:val="0"/>
          <w:numId w:val="8"/>
        </w:numPr>
        <w:spacing w:after="160"/>
        <w:jc w:val="both"/>
        <w:rPr>
          <w:rFonts w:ascii="Times New Roman" w:hAnsi="Times New Roman"/>
          <w:b/>
          <w:bCs/>
          <w:color w:val="000000"/>
          <w:sz w:val="24"/>
          <w:szCs w:val="24"/>
        </w:rPr>
      </w:pPr>
      <w:r w:rsidRPr="00BE4263">
        <w:rPr>
          <w:rFonts w:ascii="Times New Roman" w:hAnsi="Times New Roman"/>
          <w:b/>
          <w:bCs/>
          <w:color w:val="000000"/>
          <w:sz w:val="24"/>
          <w:szCs w:val="24"/>
        </w:rPr>
        <w:t>The affordability period and related covenant requirements for assisted units;</w:t>
      </w:r>
    </w:p>
    <w:p w14:paraId="1522B550" w14:textId="3BA66618" w:rsidR="00BE4263" w:rsidRPr="00BE4263" w:rsidRDefault="00BE4263" w:rsidP="00BE4263">
      <w:pPr>
        <w:pStyle w:val="ListParagraph"/>
        <w:numPr>
          <w:ilvl w:val="0"/>
          <w:numId w:val="8"/>
        </w:numPr>
        <w:spacing w:after="160"/>
        <w:jc w:val="both"/>
        <w:rPr>
          <w:rFonts w:ascii="Times New Roman" w:hAnsi="Times New Roman"/>
          <w:b/>
          <w:bCs/>
          <w:color w:val="000000"/>
          <w:sz w:val="24"/>
          <w:szCs w:val="24"/>
        </w:rPr>
      </w:pPr>
      <w:r w:rsidRPr="00BE4263">
        <w:rPr>
          <w:rFonts w:ascii="Times New Roman" w:hAnsi="Times New Roman"/>
          <w:b/>
          <w:bCs/>
          <w:color w:val="000000"/>
          <w:sz w:val="24"/>
          <w:szCs w:val="24"/>
        </w:rPr>
        <w:t xml:space="preserve">Tenant protections; and </w:t>
      </w:r>
    </w:p>
    <w:p w14:paraId="79A76DD3" w14:textId="7ADF38AE" w:rsidR="00BE4263" w:rsidRPr="00BE4263" w:rsidRDefault="00BE4263" w:rsidP="00BE4263">
      <w:pPr>
        <w:pStyle w:val="ListParagraph"/>
        <w:numPr>
          <w:ilvl w:val="0"/>
          <w:numId w:val="8"/>
        </w:numPr>
        <w:spacing w:after="160"/>
        <w:jc w:val="both"/>
        <w:rPr>
          <w:rFonts w:ascii="Times New Roman" w:hAnsi="Times New Roman"/>
          <w:b/>
          <w:bCs/>
          <w:color w:val="000000"/>
          <w:sz w:val="24"/>
          <w:szCs w:val="24"/>
        </w:rPr>
      </w:pPr>
      <w:r w:rsidRPr="00BE4263">
        <w:rPr>
          <w:rFonts w:ascii="Times New Roman" w:hAnsi="Times New Roman"/>
          <w:b/>
          <w:bCs/>
          <w:color w:val="000000"/>
          <w:sz w:val="24"/>
          <w:szCs w:val="24"/>
        </w:rPr>
        <w:t xml:space="preserve">Housing quality standards. </w:t>
      </w:r>
    </w:p>
    <w:p w14:paraId="608E5622" w14:textId="0FF488E5" w:rsidR="00BE4263" w:rsidRDefault="00BE4263" w:rsidP="00BE4263">
      <w:pPr>
        <w:spacing w:after="160"/>
        <w:jc w:val="both"/>
        <w:rPr>
          <w:b/>
          <w:bCs/>
          <w:snapToGrid/>
          <w:color w:val="000000"/>
          <w:szCs w:val="24"/>
        </w:rPr>
      </w:pPr>
      <w:r>
        <w:rPr>
          <w:b/>
          <w:bCs/>
          <w:snapToGrid/>
          <w:color w:val="000000"/>
          <w:szCs w:val="24"/>
        </w:rPr>
        <w:t xml:space="preserve">         Expanded Presumptive Eligibility:</w:t>
      </w:r>
    </w:p>
    <w:p w14:paraId="333472E3" w14:textId="41C34B0F" w:rsidR="00BE4263" w:rsidRPr="00BE4263" w:rsidRDefault="00BE4263" w:rsidP="00BE4263">
      <w:pPr>
        <w:pStyle w:val="ListParagraph"/>
        <w:numPr>
          <w:ilvl w:val="0"/>
          <w:numId w:val="9"/>
        </w:numPr>
        <w:spacing w:after="160"/>
        <w:jc w:val="both"/>
        <w:rPr>
          <w:rFonts w:ascii="Times New Roman" w:hAnsi="Times New Roman"/>
          <w:b/>
          <w:bCs/>
          <w:color w:val="000000"/>
          <w:sz w:val="24"/>
          <w:szCs w:val="24"/>
        </w:rPr>
      </w:pPr>
      <w:r w:rsidRPr="00BE4263">
        <w:rPr>
          <w:rFonts w:ascii="Times New Roman" w:hAnsi="Times New Roman"/>
          <w:b/>
          <w:bCs/>
          <w:color w:val="000000"/>
          <w:sz w:val="24"/>
          <w:szCs w:val="24"/>
        </w:rPr>
        <w:t xml:space="preserve">SLFRF-funded affordable rental housing investments under the PH-NEI eligible use category are presumptively eligible if the units funded serve households at or below 65% of AMI for a period of 20 years or greater. </w:t>
      </w:r>
    </w:p>
    <w:p w14:paraId="7C23640C" w14:textId="3865733E" w:rsidR="00BE4263" w:rsidRPr="00BE4263" w:rsidRDefault="00BE4263" w:rsidP="00BE4263">
      <w:pPr>
        <w:pStyle w:val="ListParagraph"/>
        <w:numPr>
          <w:ilvl w:val="0"/>
          <w:numId w:val="9"/>
        </w:numPr>
        <w:spacing w:after="160"/>
        <w:jc w:val="both"/>
        <w:rPr>
          <w:rFonts w:ascii="Times New Roman" w:hAnsi="Times New Roman"/>
          <w:b/>
          <w:bCs/>
          <w:color w:val="000000"/>
          <w:sz w:val="24"/>
          <w:szCs w:val="24"/>
        </w:rPr>
      </w:pPr>
      <w:r w:rsidRPr="00BE4263">
        <w:rPr>
          <w:rFonts w:ascii="Times New Roman" w:hAnsi="Times New Roman"/>
          <w:b/>
          <w:bCs/>
          <w:color w:val="000000"/>
          <w:sz w:val="24"/>
          <w:szCs w:val="24"/>
        </w:rPr>
        <w:t xml:space="preserve">A broader range of affordable housing investments may also be eligible uses of SLFRF funds under the final rule if they are related and are reasonable proportional to addressing the negative economic impacts of the pandemic and otherwise meet the final rule’s requirements. Depending on the needs of the local rental market, it may be reasonably proportional to address the negative economic impacts of the pandemic by funding units (e.g., up to 80% AMI) that do not fall into the presumptively eligible categories listed in Option 1 or Option 2. </w:t>
      </w:r>
    </w:p>
    <w:p w14:paraId="2C6D366D" w14:textId="05A88DFC" w:rsidR="00EA1F05" w:rsidRPr="003A4F3B" w:rsidRDefault="00EA1F05" w:rsidP="00EA1F05">
      <w:pPr>
        <w:pBdr>
          <w:bottom w:val="single" w:sz="6" w:space="1" w:color="auto"/>
        </w:pBdr>
        <w:spacing w:after="120"/>
        <w:rPr>
          <w:b/>
          <w:bCs/>
          <w:u w:val="single"/>
        </w:rPr>
      </w:pPr>
      <w:r w:rsidRPr="00EA1F05">
        <w:rPr>
          <w:b/>
          <w:bCs/>
          <w:u w:val="single"/>
        </w:rPr>
        <w:t>ADDITIONAL INFORMATION</w:t>
      </w:r>
    </w:p>
    <w:p w14:paraId="6B4B9A5F" w14:textId="77777777" w:rsidR="00EA1F05" w:rsidRDefault="00EA1F05" w:rsidP="00CF68E6">
      <w:pPr>
        <w:pBdr>
          <w:bottom w:val="single" w:sz="6" w:space="1" w:color="auto"/>
        </w:pBdr>
        <w:spacing w:after="120"/>
        <w:jc w:val="center"/>
        <w:rPr>
          <w:b/>
          <w:bCs/>
        </w:rPr>
      </w:pPr>
    </w:p>
    <w:p w14:paraId="493171EC" w14:textId="6DD37645" w:rsidR="00CF68E6" w:rsidRDefault="00CF68E6" w:rsidP="00CF68E6">
      <w:pPr>
        <w:pStyle w:val="Default"/>
        <w:jc w:val="center"/>
        <w:rPr>
          <w:b/>
          <w:bCs/>
          <w:snapToGrid w:val="0"/>
          <w:color w:val="auto"/>
          <w:szCs w:val="20"/>
        </w:rPr>
      </w:pPr>
      <w:r>
        <w:rPr>
          <w:b/>
          <w:bCs/>
          <w:snapToGrid w:val="0"/>
          <w:color w:val="auto"/>
          <w:szCs w:val="20"/>
        </w:rPr>
        <w:lastRenderedPageBreak/>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44F81C7E" w:rsidR="0069382C" w:rsidRPr="00EA1F05" w:rsidRDefault="0069382C" w:rsidP="0069382C">
    <w:pPr>
      <w:pStyle w:val="Header"/>
      <w:tabs>
        <w:tab w:val="clear" w:pos="8640"/>
        <w:tab w:val="right" w:pos="9900"/>
      </w:tabs>
      <w:rPr>
        <w:b/>
        <w:bCs/>
      </w:rPr>
    </w:pPr>
    <w:r w:rsidRPr="00EA1F05">
      <w:rPr>
        <w:b/>
        <w:bCs/>
      </w:rPr>
      <w:t xml:space="preserve">ADDENDUM NO. </w:t>
    </w:r>
    <w:r w:rsidR="00302844">
      <w:rPr>
        <w:b/>
        <w:bCs/>
      </w:rPr>
      <w:t>3</w:t>
    </w:r>
    <w:r w:rsidRPr="00EA1F05">
      <w:rPr>
        <w:b/>
        <w:bCs/>
      </w:rPr>
      <w:tab/>
    </w:r>
    <w:r w:rsidRPr="00EA1F05">
      <w:rPr>
        <w:b/>
        <w:bCs/>
      </w:rPr>
      <w:tab/>
    </w:r>
    <w:r w:rsidR="00EA1F05" w:rsidRPr="00EA1F05">
      <w:rPr>
        <w:b/>
        <w:bCs/>
      </w:rPr>
      <w:t>2</w:t>
    </w:r>
    <w:r w:rsidR="009152CD">
      <w:rPr>
        <w:b/>
        <w:bCs/>
      </w:rPr>
      <w:t>3</w:t>
    </w:r>
    <w:r w:rsidR="00EA1F05" w:rsidRPr="00EA1F05">
      <w:rPr>
        <w:b/>
        <w:bCs/>
      </w:rPr>
      <w:t>-</w:t>
    </w:r>
    <w:r w:rsidR="003A6361">
      <w:rPr>
        <w:b/>
        <w:bCs/>
      </w:rPr>
      <w:t>51</w:t>
    </w:r>
    <w:r w:rsidR="00CE12E7">
      <w:rPr>
        <w:b/>
        <w:bCs/>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4760F4"/>
    <w:multiLevelType w:val="hybridMultilevel"/>
    <w:tmpl w:val="B00641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C5D2B"/>
    <w:multiLevelType w:val="hybridMultilevel"/>
    <w:tmpl w:val="F772568C"/>
    <w:lvl w:ilvl="0" w:tplc="2C28539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7"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0A3E9A"/>
    <w:multiLevelType w:val="hybridMultilevel"/>
    <w:tmpl w:val="F7B6A406"/>
    <w:lvl w:ilvl="0" w:tplc="BCBAB4E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16cid:durableId="2109812657">
    <w:abstractNumId w:val="0"/>
  </w:num>
  <w:num w:numId="2" w16cid:durableId="1718893340">
    <w:abstractNumId w:val="6"/>
  </w:num>
  <w:num w:numId="3" w16cid:durableId="722757818">
    <w:abstractNumId w:val="5"/>
  </w:num>
  <w:num w:numId="4" w16cid:durableId="1146438843">
    <w:abstractNumId w:val="7"/>
  </w:num>
  <w:num w:numId="5" w16cid:durableId="814489507">
    <w:abstractNumId w:val="1"/>
  </w:num>
  <w:num w:numId="6" w16cid:durableId="1254818166">
    <w:abstractNumId w:val="4"/>
  </w:num>
  <w:num w:numId="7" w16cid:durableId="879247439">
    <w:abstractNumId w:val="2"/>
  </w:num>
  <w:num w:numId="8" w16cid:durableId="1682077189">
    <w:abstractNumId w:val="8"/>
  </w:num>
  <w:num w:numId="9" w16cid:durableId="9236053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NGiIiAwFgxa7QrVoPQDiX+cxJWTOKlWItHfLKabcmgp5ztghSwUFFiuoZA/jA4s0PTLh6ZQ9PjQQpj0wTXhxA==" w:salt="veS4LYI7oh14wWDQ1fnb3w=="/>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E504B"/>
    <w:rsid w:val="000F43B5"/>
    <w:rsid w:val="00103943"/>
    <w:rsid w:val="001167AC"/>
    <w:rsid w:val="001252A5"/>
    <w:rsid w:val="00132B21"/>
    <w:rsid w:val="00140EBE"/>
    <w:rsid w:val="00160D8F"/>
    <w:rsid w:val="00175264"/>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466A0"/>
    <w:rsid w:val="002536F8"/>
    <w:rsid w:val="0025668B"/>
    <w:rsid w:val="00271D07"/>
    <w:rsid w:val="002735DD"/>
    <w:rsid w:val="0027455F"/>
    <w:rsid w:val="002763BF"/>
    <w:rsid w:val="002815E8"/>
    <w:rsid w:val="002B2528"/>
    <w:rsid w:val="002D369E"/>
    <w:rsid w:val="002D4C1C"/>
    <w:rsid w:val="002E2E2C"/>
    <w:rsid w:val="002F3B18"/>
    <w:rsid w:val="003016A9"/>
    <w:rsid w:val="00302844"/>
    <w:rsid w:val="00330218"/>
    <w:rsid w:val="00345D8F"/>
    <w:rsid w:val="00346FBB"/>
    <w:rsid w:val="00347217"/>
    <w:rsid w:val="0034755A"/>
    <w:rsid w:val="00362BF4"/>
    <w:rsid w:val="0036641A"/>
    <w:rsid w:val="00385A10"/>
    <w:rsid w:val="0038787D"/>
    <w:rsid w:val="003A18D7"/>
    <w:rsid w:val="003A4F3B"/>
    <w:rsid w:val="003A6361"/>
    <w:rsid w:val="003A7DCC"/>
    <w:rsid w:val="003B5832"/>
    <w:rsid w:val="003F09B1"/>
    <w:rsid w:val="003F206F"/>
    <w:rsid w:val="003F2FBF"/>
    <w:rsid w:val="003F6E82"/>
    <w:rsid w:val="003F7609"/>
    <w:rsid w:val="00402147"/>
    <w:rsid w:val="004131A7"/>
    <w:rsid w:val="00426BCD"/>
    <w:rsid w:val="004608E6"/>
    <w:rsid w:val="00464CAE"/>
    <w:rsid w:val="0048032D"/>
    <w:rsid w:val="004B1918"/>
    <w:rsid w:val="004C3C70"/>
    <w:rsid w:val="005055D3"/>
    <w:rsid w:val="00517FFC"/>
    <w:rsid w:val="00523D30"/>
    <w:rsid w:val="00525414"/>
    <w:rsid w:val="00525FD8"/>
    <w:rsid w:val="0052661D"/>
    <w:rsid w:val="0057065C"/>
    <w:rsid w:val="005707DB"/>
    <w:rsid w:val="005B37C1"/>
    <w:rsid w:val="005C43BF"/>
    <w:rsid w:val="005D3CB7"/>
    <w:rsid w:val="00603ED8"/>
    <w:rsid w:val="00605C06"/>
    <w:rsid w:val="0061414A"/>
    <w:rsid w:val="0062511B"/>
    <w:rsid w:val="0064276A"/>
    <w:rsid w:val="00653049"/>
    <w:rsid w:val="006564E6"/>
    <w:rsid w:val="00660CA2"/>
    <w:rsid w:val="006725EC"/>
    <w:rsid w:val="0069382C"/>
    <w:rsid w:val="006D745E"/>
    <w:rsid w:val="00706554"/>
    <w:rsid w:val="00707723"/>
    <w:rsid w:val="00710E05"/>
    <w:rsid w:val="007124B6"/>
    <w:rsid w:val="007368C3"/>
    <w:rsid w:val="007400A7"/>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A0E4A"/>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6C19"/>
    <w:rsid w:val="00A07B66"/>
    <w:rsid w:val="00A2718B"/>
    <w:rsid w:val="00A32AF0"/>
    <w:rsid w:val="00A34AFE"/>
    <w:rsid w:val="00A5510B"/>
    <w:rsid w:val="00A6185C"/>
    <w:rsid w:val="00A72F3F"/>
    <w:rsid w:val="00A87373"/>
    <w:rsid w:val="00A93012"/>
    <w:rsid w:val="00AA0309"/>
    <w:rsid w:val="00AA2A5A"/>
    <w:rsid w:val="00AB1EC3"/>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E4263"/>
    <w:rsid w:val="00BF0C3E"/>
    <w:rsid w:val="00BF1A10"/>
    <w:rsid w:val="00C02B93"/>
    <w:rsid w:val="00C04BF9"/>
    <w:rsid w:val="00C07D27"/>
    <w:rsid w:val="00C20D39"/>
    <w:rsid w:val="00C3031B"/>
    <w:rsid w:val="00C518D9"/>
    <w:rsid w:val="00C5202C"/>
    <w:rsid w:val="00C54BBE"/>
    <w:rsid w:val="00C65E0D"/>
    <w:rsid w:val="00C66A0C"/>
    <w:rsid w:val="00C83188"/>
    <w:rsid w:val="00C95E9D"/>
    <w:rsid w:val="00CA1A27"/>
    <w:rsid w:val="00CB1B38"/>
    <w:rsid w:val="00CC306A"/>
    <w:rsid w:val="00CC4FF2"/>
    <w:rsid w:val="00CD038E"/>
    <w:rsid w:val="00CE0010"/>
    <w:rsid w:val="00CE12E7"/>
    <w:rsid w:val="00CF68E6"/>
    <w:rsid w:val="00D01ADF"/>
    <w:rsid w:val="00D20816"/>
    <w:rsid w:val="00D258A9"/>
    <w:rsid w:val="00D4336C"/>
    <w:rsid w:val="00D454B6"/>
    <w:rsid w:val="00D51233"/>
    <w:rsid w:val="00DB7715"/>
    <w:rsid w:val="00DB7FA9"/>
    <w:rsid w:val="00DC457D"/>
    <w:rsid w:val="00DC68A5"/>
    <w:rsid w:val="00DD2371"/>
    <w:rsid w:val="00DD4532"/>
    <w:rsid w:val="00E12DB6"/>
    <w:rsid w:val="00E531E3"/>
    <w:rsid w:val="00E5490D"/>
    <w:rsid w:val="00E54A57"/>
    <w:rsid w:val="00E63776"/>
    <w:rsid w:val="00E925C6"/>
    <w:rsid w:val="00EA1F05"/>
    <w:rsid w:val="00EB25CE"/>
    <w:rsid w:val="00EE17FC"/>
    <w:rsid w:val="00EE3D54"/>
    <w:rsid w:val="00EF5966"/>
    <w:rsid w:val="00F02DD9"/>
    <w:rsid w:val="00F07C3F"/>
    <w:rsid w:val="00F1278D"/>
    <w:rsid w:val="00F20605"/>
    <w:rsid w:val="00F26946"/>
    <w:rsid w:val="00F4123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customXml/itemProps3.xml><?xml version="1.0" encoding="utf-8"?>
<ds:datastoreItem xmlns:ds="http://schemas.openxmlformats.org/officeDocument/2006/customXml" ds:itemID="{05EE6ADB-36FA-4F58-8FFA-0401AAADB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2</cp:revision>
  <cp:lastPrinted>2020-04-01T15:04:00Z</cp:lastPrinted>
  <dcterms:created xsi:type="dcterms:W3CDTF">2022-12-16T17:35:00Z</dcterms:created>
  <dcterms:modified xsi:type="dcterms:W3CDTF">2022-12-16T17:35:00Z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