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F14D51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D0CF0">
        <w:rPr>
          <w:bCs/>
          <w:szCs w:val="24"/>
        </w:rPr>
        <w:t>Traffic Signs and Related Materials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D0CF0">
        <w:rPr>
          <w:szCs w:val="24"/>
        </w:rPr>
        <w:t>10/11/2022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FC4EA2B" w14:textId="77777777" w:rsidR="00405F39" w:rsidRDefault="00405F39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Q1.- Q2.  Refer to No.1 Addendum.  </w:t>
      </w:r>
    </w:p>
    <w:p w14:paraId="57A0310A" w14:textId="5659A9F7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ED0CF0">
        <w:rPr>
          <w:snapToGrid/>
          <w:color w:val="000000"/>
          <w:szCs w:val="24"/>
        </w:rPr>
        <w:t>3</w:t>
      </w:r>
      <w:r>
        <w:rPr>
          <w:snapToGrid/>
          <w:color w:val="000000"/>
          <w:szCs w:val="24"/>
        </w:rPr>
        <w:t xml:space="preserve">.  </w:t>
      </w:r>
      <w:r w:rsidR="00ED0CF0">
        <w:rPr>
          <w:snapToGrid/>
          <w:color w:val="000000"/>
          <w:szCs w:val="24"/>
        </w:rPr>
        <w:t>Due to the small quantity of traffic paint needs, request ability to require a minimum purchase of one (1) pallet (32 pails or 160 gallons) of paint at a time. Colors may be mi</w:t>
      </w:r>
      <w:r w:rsidR="00405F39">
        <w:rPr>
          <w:snapToGrid/>
          <w:color w:val="000000"/>
          <w:szCs w:val="24"/>
        </w:rPr>
        <w:t>x</w:t>
      </w:r>
      <w:r w:rsidR="00ED0CF0">
        <w:rPr>
          <w:snapToGrid/>
          <w:color w:val="000000"/>
          <w:szCs w:val="24"/>
        </w:rPr>
        <w:t xml:space="preserve">ed on the pallet. </w:t>
      </w:r>
    </w:p>
    <w:p w14:paraId="02E6CF71" w14:textId="3035A762" w:rsidR="00EA1F05" w:rsidRPr="00ED0CF0" w:rsidRDefault="00EA1F05" w:rsidP="00ED0CF0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405F39">
        <w:rPr>
          <w:b/>
          <w:bCs/>
          <w:snapToGrid/>
          <w:color w:val="000000"/>
          <w:szCs w:val="24"/>
        </w:rPr>
        <w:t>3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 </w:t>
      </w:r>
      <w:r w:rsidR="008B5A62" w:rsidRPr="00EA1F05">
        <w:rPr>
          <w:b/>
          <w:bCs/>
          <w:snapToGrid/>
          <w:color w:val="000000"/>
          <w:szCs w:val="24"/>
        </w:rPr>
        <w:t>Th</w:t>
      </w:r>
      <w:r w:rsidR="009052BD">
        <w:rPr>
          <w:b/>
          <w:bCs/>
          <w:snapToGrid/>
          <w:color w:val="000000"/>
          <w:szCs w:val="24"/>
        </w:rPr>
        <w:t>is request is declined</w:t>
      </w:r>
      <w:r w:rsidR="00ED0CF0">
        <w:rPr>
          <w:b/>
          <w:bCs/>
          <w:snapToGrid/>
          <w:color w:val="000000"/>
          <w:szCs w:val="24"/>
        </w:rPr>
        <w:t xml:space="preserve">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81EC3FE" w:rsidR="00EA1F05" w:rsidRPr="00EA1F05" w:rsidRDefault="00405F39" w:rsidP="00EA1F05">
      <w:pPr>
        <w:pBdr>
          <w:bottom w:val="single" w:sz="6" w:space="1" w:color="auto"/>
        </w:pBdr>
        <w:spacing w:after="120"/>
      </w:pPr>
      <w:r>
        <w:t>Reminder</w:t>
      </w:r>
      <w:r w:rsidR="00ED0CF0">
        <w:t>: Question</w:t>
      </w:r>
      <w:r>
        <w:t>s</w:t>
      </w:r>
      <w:r w:rsidR="00ED0CF0">
        <w:t xml:space="preserve"> and </w:t>
      </w:r>
      <w:r>
        <w:t xml:space="preserve">Exceptions </w:t>
      </w:r>
      <w:r w:rsidR="00ED0CF0">
        <w:t>deadline is October 17, 2022. No questions</w:t>
      </w:r>
      <w:r>
        <w:t xml:space="preserve"> or exception requests </w:t>
      </w:r>
      <w:r w:rsidR="00ED0CF0">
        <w:t xml:space="preserve">may be submitted after this date.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05BE24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D0CF0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ED0CF0">
      <w:rPr>
        <w:b/>
        <w:bCs/>
      </w:rPr>
      <w:t>543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gUPE8iCNLZhO2JqNYqmEM903z4+6U2V/tXzN+9ecLEoSI1sTEMNNpGcrzowqZHZdRP085Y3HXb1DRyUOrkQA==" w:salt="JoSahppY/dp2LTsPw81ZM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05F39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052BD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71692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D0CF0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5</cp:revision>
  <cp:lastPrinted>2020-04-01T15:04:00Z</cp:lastPrinted>
  <dcterms:created xsi:type="dcterms:W3CDTF">2022-10-11T16:55:00Z</dcterms:created>
  <dcterms:modified xsi:type="dcterms:W3CDTF">2022-10-11T17:21:00Z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